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71B2A56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AA0854">
        <w:t>100</w:t>
      </w:r>
      <w:r w:rsidR="004D75D9">
        <w:t>-e</w:t>
      </w:r>
      <w:r w:rsidRPr="00CE0424">
        <w:tab/>
      </w:r>
      <w:r w:rsidR="00091557" w:rsidRPr="00CE0424">
        <w:rPr>
          <w:sz w:val="32"/>
          <w:szCs w:val="32"/>
        </w:rPr>
        <w:t>R</w:t>
      </w:r>
      <w:r w:rsidR="008F1C4E">
        <w:rPr>
          <w:sz w:val="32"/>
          <w:szCs w:val="32"/>
        </w:rPr>
        <w:t>1</w:t>
      </w:r>
      <w:r w:rsidR="00091557" w:rsidRPr="00CE0424">
        <w:rPr>
          <w:sz w:val="32"/>
          <w:szCs w:val="32"/>
        </w:rPr>
        <w:t>-</w:t>
      </w:r>
      <w:r w:rsidR="00C113AD" w:rsidRPr="00C113AD">
        <w:rPr>
          <w:sz w:val="32"/>
          <w:szCs w:val="32"/>
        </w:rPr>
        <w:t xml:space="preserve"> 2001015</w:t>
      </w:r>
    </w:p>
    <w:p w14:paraId="63DB5C0A" w14:textId="77777777" w:rsidR="00DC23D0" w:rsidRPr="00CE0424" w:rsidRDefault="00DC23D0" w:rsidP="00DC23D0">
      <w:pPr>
        <w:pStyle w:val="3GPPHeader"/>
      </w:pPr>
      <w:r w:rsidRPr="003D623D">
        <w:t>e-Meeting, February 24th- March 6th, 2020</w:t>
      </w:r>
    </w:p>
    <w:p w14:paraId="7FD0A2FD" w14:textId="77777777" w:rsidR="00E90E49" w:rsidRPr="00CE0424" w:rsidRDefault="00E90E49" w:rsidP="00357380">
      <w:pPr>
        <w:pStyle w:val="3GPPHeader"/>
      </w:pPr>
    </w:p>
    <w:p w14:paraId="0209C9BC" w14:textId="6EB4B8C6" w:rsidR="00E90E49" w:rsidRPr="00077322" w:rsidRDefault="00E90E49" w:rsidP="00311702">
      <w:pPr>
        <w:pStyle w:val="3GPPHeader"/>
        <w:rPr>
          <w:sz w:val="22"/>
          <w:szCs w:val="22"/>
          <w:lang w:val="en-US"/>
        </w:rPr>
      </w:pPr>
      <w:r w:rsidRPr="00077322">
        <w:rPr>
          <w:sz w:val="22"/>
          <w:szCs w:val="22"/>
          <w:lang w:val="en-US"/>
        </w:rPr>
        <w:t>Agenda Item:</w:t>
      </w:r>
      <w:r w:rsidRPr="00077322">
        <w:rPr>
          <w:sz w:val="22"/>
          <w:szCs w:val="22"/>
          <w:lang w:val="en-US"/>
        </w:rPr>
        <w:tab/>
      </w:r>
      <w:r w:rsidR="00077322" w:rsidRPr="00077322">
        <w:rPr>
          <w:sz w:val="22"/>
          <w:szCs w:val="22"/>
          <w:lang w:val="en-US"/>
        </w:rPr>
        <w:t>7</w:t>
      </w:r>
      <w:r w:rsidR="00077322">
        <w:rPr>
          <w:sz w:val="22"/>
          <w:szCs w:val="22"/>
          <w:lang w:val="en-US"/>
        </w:rPr>
        <w:t>.2.4.8</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707DEC62" w:rsidR="00E90E49" w:rsidRPr="00CE0424" w:rsidRDefault="003D3C45" w:rsidP="00311702">
      <w:pPr>
        <w:pStyle w:val="3GPPHeader"/>
        <w:rPr>
          <w:sz w:val="22"/>
          <w:szCs w:val="22"/>
        </w:rPr>
      </w:pPr>
      <w:r>
        <w:rPr>
          <w:sz w:val="22"/>
          <w:szCs w:val="22"/>
        </w:rPr>
        <w:t>Title:</w:t>
      </w:r>
      <w:r w:rsidR="00E90E49" w:rsidRPr="00CE0424">
        <w:rPr>
          <w:sz w:val="22"/>
          <w:szCs w:val="22"/>
        </w:rPr>
        <w:tab/>
      </w:r>
      <w:r w:rsidR="00077322" w:rsidRPr="00077322">
        <w:rPr>
          <w:sz w:val="22"/>
          <w:szCs w:val="22"/>
        </w:rPr>
        <w:t xml:space="preserve">Remaining </w:t>
      </w:r>
      <w:r w:rsidR="00077322">
        <w:rPr>
          <w:sz w:val="22"/>
          <w:szCs w:val="22"/>
        </w:rPr>
        <w:t>d</w:t>
      </w:r>
      <w:r w:rsidR="00077322" w:rsidRPr="00077322">
        <w:rPr>
          <w:sz w:val="22"/>
          <w:szCs w:val="22"/>
        </w:rPr>
        <w:t>etails on resource pool determination</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77322">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00C200D" w14:textId="77777777" w:rsidR="00925F6B" w:rsidRPr="00925F6B" w:rsidRDefault="00925F6B" w:rsidP="00925F6B">
      <w:pPr>
        <w:jc w:val="both"/>
        <w:rPr>
          <w:rFonts w:ascii="Arial" w:hAnsi="Arial" w:cs="Arial"/>
          <w:lang w:val="en-US"/>
        </w:rPr>
      </w:pPr>
      <w:r w:rsidRPr="00925F6B">
        <w:rPr>
          <w:rFonts w:ascii="Arial" w:hAnsi="Arial" w:cs="Arial"/>
          <w:lang w:val="en-US"/>
        </w:rPr>
        <w:t>RAN1#98bis has made the following agreement:</w:t>
      </w:r>
    </w:p>
    <w:tbl>
      <w:tblPr>
        <w:tblStyle w:val="TableGrid"/>
        <w:tblW w:w="0" w:type="auto"/>
        <w:tblLook w:val="04A0" w:firstRow="1" w:lastRow="0" w:firstColumn="1" w:lastColumn="0" w:noHBand="0" w:noVBand="1"/>
      </w:tblPr>
      <w:tblGrid>
        <w:gridCol w:w="9629"/>
      </w:tblGrid>
      <w:tr w:rsidR="00925F6B" w:rsidRPr="00925F6B" w14:paraId="4508AAB6" w14:textId="77777777" w:rsidTr="00335CF1">
        <w:tc>
          <w:tcPr>
            <w:tcW w:w="9629" w:type="dxa"/>
          </w:tcPr>
          <w:p w14:paraId="0C3662C0" w14:textId="77777777" w:rsidR="00925F6B" w:rsidRPr="00925F6B" w:rsidRDefault="00925F6B" w:rsidP="00335CF1">
            <w:pPr>
              <w:rPr>
                <w:rFonts w:ascii="Arial" w:hAnsi="Arial" w:cs="Arial"/>
                <w:iCs/>
                <w:sz w:val="20"/>
                <w:szCs w:val="20"/>
                <w:lang w:eastAsia="x-none"/>
              </w:rPr>
            </w:pPr>
            <w:r w:rsidRPr="00925F6B">
              <w:rPr>
                <w:rFonts w:ascii="Arial" w:hAnsi="Arial" w:cs="Arial"/>
                <w:iCs/>
                <w:sz w:val="20"/>
                <w:szCs w:val="20"/>
                <w:highlight w:val="green"/>
                <w:lang w:eastAsia="x-none"/>
              </w:rPr>
              <w:t>Agreements</w:t>
            </w:r>
            <w:r w:rsidRPr="00925F6B">
              <w:rPr>
                <w:rFonts w:ascii="Arial" w:hAnsi="Arial" w:cs="Arial"/>
                <w:iCs/>
                <w:sz w:val="20"/>
                <w:szCs w:val="20"/>
                <w:lang w:eastAsia="x-none"/>
              </w:rPr>
              <w:t>:</w:t>
            </w:r>
          </w:p>
          <w:p w14:paraId="1D7712EE" w14:textId="77777777" w:rsidR="00925F6B" w:rsidRPr="00925F6B" w:rsidRDefault="00925F6B" w:rsidP="00925F6B">
            <w:pPr>
              <w:pStyle w:val="Style1"/>
              <w:numPr>
                <w:ilvl w:val="0"/>
                <w:numId w:val="26"/>
              </w:numPr>
              <w:spacing w:after="0" w:afterAutospacing="0" w:line="276" w:lineRule="auto"/>
              <w:rPr>
                <w:rFonts w:ascii="Arial" w:eastAsia="DengXian" w:hAnsi="Arial" w:cs="Arial"/>
                <w:sz w:val="20"/>
                <w:szCs w:val="20"/>
                <w:lang w:val="en-US" w:eastAsia="ko-KR"/>
              </w:rPr>
            </w:pPr>
            <w:r w:rsidRPr="00925F6B">
              <w:rPr>
                <w:rFonts w:ascii="Arial" w:eastAsia="DengXian" w:hAnsi="Arial" w:cs="Arial"/>
                <w:sz w:val="20"/>
                <w:szCs w:val="20"/>
                <w:lang w:val="en-US" w:eastAsia="ko-KR"/>
              </w:rPr>
              <w:t>A slot is the time-domain granularity for resource pool configuration.</w:t>
            </w:r>
          </w:p>
          <w:p w14:paraId="7C1DEA42" w14:textId="77777777" w:rsidR="00925F6B" w:rsidRPr="00925F6B" w:rsidRDefault="00925F6B" w:rsidP="00925F6B">
            <w:pPr>
              <w:pStyle w:val="Style1"/>
              <w:numPr>
                <w:ilvl w:val="1"/>
                <w:numId w:val="26"/>
              </w:numPr>
              <w:spacing w:after="0" w:afterAutospacing="0" w:line="276" w:lineRule="auto"/>
              <w:rPr>
                <w:rFonts w:ascii="Arial" w:eastAsia="DengXian" w:hAnsi="Arial" w:cs="Arial"/>
                <w:sz w:val="20"/>
                <w:szCs w:val="20"/>
                <w:lang w:eastAsia="ko-KR"/>
              </w:rPr>
            </w:pPr>
            <w:r w:rsidRPr="00925F6B">
              <w:rPr>
                <w:rFonts w:ascii="Arial" w:eastAsia="DengXian" w:hAnsi="Arial" w:cs="Arial"/>
                <w:sz w:val="20"/>
                <w:szCs w:val="20"/>
                <w:lang w:eastAsia="ko-KR"/>
              </w:rPr>
              <w:t>To down-select:</w:t>
            </w:r>
          </w:p>
          <w:p w14:paraId="22B0CFDA" w14:textId="77777777" w:rsidR="00925F6B" w:rsidRPr="00925F6B" w:rsidRDefault="00925F6B" w:rsidP="00925F6B">
            <w:pPr>
              <w:pStyle w:val="Style1"/>
              <w:numPr>
                <w:ilvl w:val="2"/>
                <w:numId w:val="26"/>
              </w:numPr>
              <w:spacing w:after="0" w:afterAutospacing="0" w:line="276" w:lineRule="auto"/>
              <w:rPr>
                <w:rFonts w:ascii="Arial" w:eastAsia="DengXian" w:hAnsi="Arial" w:cs="Arial"/>
                <w:sz w:val="20"/>
                <w:szCs w:val="20"/>
                <w:lang w:val="en-US" w:eastAsia="ko-KR"/>
              </w:rPr>
            </w:pPr>
            <w:r w:rsidRPr="00925F6B">
              <w:rPr>
                <w:rFonts w:ascii="Arial" w:eastAsia="DengXian" w:hAnsi="Arial" w:cs="Arial"/>
                <w:sz w:val="20"/>
                <w:szCs w:val="20"/>
                <w:lang w:val="en-US" w:eastAsia="ko-KR"/>
              </w:rPr>
              <w:t>Alt 1. Slots for a resource pool is (pre-)configured with bitmap, which is applied with periodicity</w:t>
            </w:r>
          </w:p>
          <w:p w14:paraId="7422AAFE" w14:textId="77777777" w:rsidR="00925F6B" w:rsidRPr="00925F6B" w:rsidRDefault="00925F6B" w:rsidP="00925F6B">
            <w:pPr>
              <w:pStyle w:val="Style1"/>
              <w:numPr>
                <w:ilvl w:val="2"/>
                <w:numId w:val="26"/>
              </w:numPr>
              <w:spacing w:after="0" w:afterAutospacing="0" w:line="276" w:lineRule="auto"/>
              <w:rPr>
                <w:rFonts w:ascii="Arial" w:eastAsia="DengXian" w:hAnsi="Arial" w:cs="Arial"/>
                <w:sz w:val="20"/>
                <w:szCs w:val="20"/>
                <w:lang w:val="en-US" w:eastAsia="ko-KR"/>
              </w:rPr>
            </w:pPr>
            <w:r w:rsidRPr="00925F6B">
              <w:rPr>
                <w:rFonts w:ascii="Arial" w:eastAsia="DengXian" w:hAnsi="Arial" w:cs="Arial"/>
                <w:sz w:val="20"/>
                <w:szCs w:val="20"/>
                <w:lang w:val="en-US" w:eastAsia="ko-KR"/>
              </w:rPr>
              <w:t>Alt 2. Slots for a resource pool is (pre-)configured, where the slots are applied with periodicity.</w:t>
            </w:r>
          </w:p>
          <w:p w14:paraId="7106D971" w14:textId="77777777" w:rsidR="00925F6B" w:rsidRPr="00925F6B" w:rsidRDefault="00925F6B" w:rsidP="00925F6B">
            <w:pPr>
              <w:pStyle w:val="Style1"/>
              <w:numPr>
                <w:ilvl w:val="1"/>
                <w:numId w:val="26"/>
              </w:numPr>
              <w:spacing w:after="0" w:afterAutospacing="0" w:line="276" w:lineRule="auto"/>
              <w:rPr>
                <w:rFonts w:ascii="Arial" w:eastAsia="DengXian" w:hAnsi="Arial" w:cs="Arial"/>
                <w:sz w:val="20"/>
                <w:szCs w:val="20"/>
                <w:lang w:eastAsia="ko-KR"/>
              </w:rPr>
            </w:pPr>
            <w:r w:rsidRPr="00925F6B">
              <w:rPr>
                <w:rFonts w:ascii="Arial" w:eastAsia="DengXian" w:hAnsi="Arial" w:cs="Arial"/>
                <w:sz w:val="20"/>
                <w:szCs w:val="20"/>
                <w:lang w:eastAsia="ko-KR"/>
              </w:rPr>
              <w:t>FFS: signaling details</w:t>
            </w:r>
          </w:p>
          <w:p w14:paraId="2ED0B7F7" w14:textId="77777777" w:rsidR="00925F6B" w:rsidRPr="00925F6B" w:rsidRDefault="00925F6B" w:rsidP="00925F6B">
            <w:pPr>
              <w:pStyle w:val="Style1"/>
              <w:numPr>
                <w:ilvl w:val="1"/>
                <w:numId w:val="26"/>
              </w:numPr>
              <w:spacing w:after="0" w:afterAutospacing="0" w:line="276" w:lineRule="auto"/>
              <w:rPr>
                <w:rFonts w:ascii="Arial" w:eastAsia="DengXian" w:hAnsi="Arial" w:cs="Arial"/>
                <w:sz w:val="20"/>
                <w:szCs w:val="20"/>
                <w:lang w:val="en-US" w:eastAsia="ko-KR"/>
              </w:rPr>
            </w:pPr>
            <w:r w:rsidRPr="00925F6B">
              <w:rPr>
                <w:rFonts w:ascii="Arial" w:eastAsia="DengXian" w:hAnsi="Arial" w:cs="Arial"/>
                <w:sz w:val="20"/>
                <w:szCs w:val="20"/>
                <w:lang w:val="en-US" w:eastAsia="ko-KR"/>
              </w:rPr>
              <w:t>FFS: how to apply the above bitmap signaling, e.g., to all slots or only to a set of slots</w:t>
            </w:r>
          </w:p>
          <w:p w14:paraId="182E5892" w14:textId="77777777" w:rsidR="00925F6B" w:rsidRPr="00925F6B" w:rsidRDefault="00925F6B" w:rsidP="00925F6B">
            <w:pPr>
              <w:pStyle w:val="Style1"/>
              <w:numPr>
                <w:ilvl w:val="1"/>
                <w:numId w:val="26"/>
              </w:numPr>
              <w:spacing w:after="0" w:afterAutospacing="0" w:line="276" w:lineRule="auto"/>
              <w:rPr>
                <w:rFonts w:ascii="Arial" w:hAnsi="Arial" w:cs="Arial"/>
                <w:sz w:val="20"/>
                <w:szCs w:val="20"/>
                <w:lang w:val="en-US"/>
              </w:rPr>
            </w:pPr>
            <w:r w:rsidRPr="00925F6B">
              <w:rPr>
                <w:rFonts w:ascii="Arial" w:eastAsia="DengXian" w:hAnsi="Arial" w:cs="Arial"/>
                <w:sz w:val="20"/>
                <w:szCs w:val="20"/>
                <w:lang w:val="en-US" w:eastAsia="ko-KR"/>
              </w:rPr>
              <w:t>FFS: symbols for sidelink in the slot, how to indicate for the case when not all symbols are for SL</w:t>
            </w:r>
          </w:p>
        </w:tc>
      </w:tr>
    </w:tbl>
    <w:p w14:paraId="59C61B24" w14:textId="77777777" w:rsidR="00925F6B" w:rsidRPr="00925F6B" w:rsidRDefault="00925F6B" w:rsidP="00077322">
      <w:pPr>
        <w:rPr>
          <w:rFonts w:ascii="Arial" w:hAnsi="Arial" w:cs="Arial"/>
          <w:lang w:val="en-US"/>
        </w:rPr>
      </w:pPr>
    </w:p>
    <w:p w14:paraId="091D76C1" w14:textId="43A5775F" w:rsidR="00077322" w:rsidRPr="00925F6B" w:rsidRDefault="00925F6B" w:rsidP="00077322">
      <w:pPr>
        <w:pStyle w:val="BodyText"/>
        <w:rPr>
          <w:rFonts w:cs="Arial"/>
        </w:rPr>
      </w:pPr>
      <w:r>
        <w:rPr>
          <w:rFonts w:cs="Arial"/>
          <w:lang w:val="en-US"/>
        </w:rPr>
        <w:t>There remaining details are still left for discussion. This contribution presents our view on those details.</w:t>
      </w:r>
    </w:p>
    <w:p w14:paraId="226B665A" w14:textId="3A2702B5" w:rsidR="004000E8" w:rsidRDefault="00230D18" w:rsidP="00CE0424">
      <w:pPr>
        <w:pStyle w:val="Heading1"/>
      </w:pPr>
      <w:bookmarkStart w:id="1" w:name="_Ref178064866"/>
      <w:r>
        <w:t>2</w:t>
      </w:r>
      <w:r>
        <w:tab/>
      </w:r>
      <w:bookmarkEnd w:id="1"/>
      <w:r w:rsidR="000C7A75">
        <w:t>NR V2X resource pool determination</w:t>
      </w:r>
    </w:p>
    <w:p w14:paraId="50E20521" w14:textId="77777777" w:rsidR="000C7A75" w:rsidRDefault="00925F6B" w:rsidP="00077322">
      <w:pPr>
        <w:pStyle w:val="BodyText"/>
        <w:rPr>
          <w:rFonts w:cs="Arial"/>
          <w:lang w:val="en-US"/>
        </w:rPr>
      </w:pPr>
      <w:r>
        <w:rPr>
          <w:rFonts w:cs="Arial"/>
          <w:lang w:val="en-US"/>
        </w:rPr>
        <w:t xml:space="preserve">Regarding Alt.1 and Alt.2 above, in our view Alt.1 is the obvious choice because that is the procedure used in LTE V2X and there is no fundamental difference between LTE V2X and NR V2X in this regard. </w:t>
      </w:r>
    </w:p>
    <w:p w14:paraId="5F4F33B3" w14:textId="73C20A1F" w:rsidR="000C7A75" w:rsidRPr="00A04F49" w:rsidRDefault="000C7A75" w:rsidP="000C7A75">
      <w:pPr>
        <w:pStyle w:val="Proposal"/>
      </w:pPr>
      <w:bookmarkStart w:id="2" w:name="_Toc32567960"/>
      <w:r>
        <w:t xml:space="preserve">Slots for a </w:t>
      </w:r>
      <w:r w:rsidRPr="00925F6B">
        <w:rPr>
          <w:rFonts w:eastAsia="DengXian" w:cs="Arial"/>
          <w:lang w:val="en-US" w:eastAsia="ko-KR"/>
        </w:rPr>
        <w:t>resource pool is (pre-)configured with bitmap, which is applied with periodicity</w:t>
      </w:r>
      <w:r w:rsidRPr="00A04F49">
        <w:t>.</w:t>
      </w:r>
      <w:bookmarkEnd w:id="2"/>
    </w:p>
    <w:p w14:paraId="44D9FEFF" w14:textId="29ECDE2F" w:rsidR="00077322" w:rsidRPr="001E5B09" w:rsidRDefault="00AB16AD" w:rsidP="00077322">
      <w:pPr>
        <w:pStyle w:val="BodyText"/>
        <w:rPr>
          <w:rFonts w:cs="Arial"/>
          <w:lang w:val="en-US"/>
        </w:rPr>
      </w:pPr>
      <w:r>
        <w:rPr>
          <w:rFonts w:cs="Arial"/>
          <w:lang w:val="en-US"/>
        </w:rPr>
        <w:t>As a result</w:t>
      </w:r>
      <w:r w:rsidR="00925F6B">
        <w:rPr>
          <w:rFonts w:cs="Arial"/>
          <w:lang w:val="en-US"/>
        </w:rPr>
        <w:t xml:space="preserve">, </w:t>
      </w:r>
      <w:r w:rsidR="00077322" w:rsidRPr="001E5B09">
        <w:rPr>
          <w:rFonts w:cs="Arial"/>
          <w:lang w:val="en-US"/>
        </w:rPr>
        <w:t>the corresponding procedure for LTE V2X (Section 14.1.5 in TS 36.213) can be reused</w:t>
      </w:r>
      <w:r w:rsidR="00F273B3">
        <w:rPr>
          <w:rFonts w:cs="Arial"/>
          <w:lang w:val="en-US"/>
        </w:rPr>
        <w:t xml:space="preserve"> with some adjustments</w:t>
      </w:r>
      <w:r w:rsidR="00077322" w:rsidRPr="001E5B09">
        <w:rPr>
          <w:rFonts w:cs="Arial"/>
          <w:lang w:val="en-US"/>
        </w:rPr>
        <w:t xml:space="preserve">. </w:t>
      </w:r>
      <w:r w:rsidR="00F273B3">
        <w:rPr>
          <w:rFonts w:cs="Arial"/>
          <w:lang w:val="en-US"/>
        </w:rPr>
        <w:t>I</w:t>
      </w:r>
      <w:r w:rsidR="00077322" w:rsidRPr="001E5B09">
        <w:rPr>
          <w:rFonts w:cs="Arial"/>
          <w:lang w:val="en-US"/>
        </w:rPr>
        <w:t xml:space="preserve">n LTE, the following procedure is followed to determine the set of subframes that belong to PSSCH resource pool. </w:t>
      </w:r>
    </w:p>
    <w:tbl>
      <w:tblPr>
        <w:tblStyle w:val="TableGrid"/>
        <w:tblW w:w="0" w:type="auto"/>
        <w:tblLook w:val="04A0" w:firstRow="1" w:lastRow="0" w:firstColumn="1" w:lastColumn="0" w:noHBand="0" w:noVBand="1"/>
      </w:tblPr>
      <w:tblGrid>
        <w:gridCol w:w="9629"/>
      </w:tblGrid>
      <w:tr w:rsidR="00077322" w:rsidRPr="00DF085C" w14:paraId="30F7161F" w14:textId="77777777" w:rsidTr="00335CF1">
        <w:tc>
          <w:tcPr>
            <w:tcW w:w="9629" w:type="dxa"/>
          </w:tcPr>
          <w:p w14:paraId="7A184AEF" w14:textId="77777777" w:rsidR="00077322" w:rsidRPr="00F91356" w:rsidRDefault="00077322" w:rsidP="00335CF1">
            <w:pPr>
              <w:rPr>
                <w:rFonts w:eastAsia="Malgun Gothic"/>
                <w:sz w:val="20"/>
                <w:szCs w:val="20"/>
                <w:lang w:val="en-US" w:eastAsia="ko-KR"/>
              </w:rPr>
            </w:pPr>
            <w:r w:rsidRPr="00F91356">
              <w:rPr>
                <w:rFonts w:eastAsia="Malgun Gothic"/>
                <w:sz w:val="20"/>
                <w:szCs w:val="20"/>
                <w:lang w:val="en-US" w:eastAsia="ko-KR"/>
              </w:rPr>
              <w:t xml:space="preserve">The set of subframes that may belong to a PSSCH resource pool for sidelink transmission mode 3 or 4 is denoted by </w:t>
            </w:r>
            <m:oMath>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noProof/>
                          <w:sz w:val="20"/>
                          <w:szCs w:val="20"/>
                        </w:rPr>
                        <m:t>t</m:t>
                      </m:r>
                    </m:e>
                    <m:sub>
                      <m:r>
                        <w:rPr>
                          <w:rFonts w:ascii="Cambria Math" w:hAnsi="Cambria Math"/>
                          <w:sz w:val="20"/>
                          <w:szCs w:val="20"/>
                          <w:lang w:val="en-US"/>
                        </w:rPr>
                        <m:t>0</m:t>
                      </m:r>
                    </m:sub>
                    <m:sup>
                      <m:r>
                        <w:rPr>
                          <w:rFonts w:ascii="Cambria Math" w:hAnsi="Cambria Math"/>
                          <w:noProof/>
                          <w:sz w:val="20"/>
                          <w:szCs w:val="20"/>
                        </w:rPr>
                        <m:t>SL</m:t>
                      </m:r>
                    </m:sup>
                  </m:sSubSup>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noProof/>
                          <w:sz w:val="20"/>
                          <w:szCs w:val="20"/>
                        </w:rPr>
                        <m:t>t</m:t>
                      </m:r>
                    </m:e>
                    <m:sub>
                      <m:r>
                        <w:rPr>
                          <w:rFonts w:ascii="Cambria Math" w:hAnsi="Cambria Math"/>
                          <w:sz w:val="20"/>
                          <w:szCs w:val="20"/>
                          <w:lang w:val="en-US"/>
                        </w:rPr>
                        <m:t>1</m:t>
                      </m:r>
                    </m:sub>
                    <m:sup>
                      <m:r>
                        <w:rPr>
                          <w:rFonts w:ascii="Cambria Math" w:hAnsi="Cambria Math"/>
                          <w:noProof/>
                          <w:sz w:val="20"/>
                          <w:szCs w:val="20"/>
                        </w:rPr>
                        <m:t>SL</m:t>
                      </m:r>
                    </m:sup>
                  </m:sSubSup>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noProof/>
                          <w:sz w:val="20"/>
                          <w:szCs w:val="20"/>
                        </w:rPr>
                        <m:t>t</m:t>
                      </m:r>
                    </m:e>
                    <m:sub>
                      <m:sSub>
                        <m:sSubPr>
                          <m:ctrlPr>
                            <w:rPr>
                              <w:rFonts w:ascii="Cambria Math" w:hAnsi="Cambria Math"/>
                              <w:i/>
                              <w:sz w:val="20"/>
                              <w:szCs w:val="20"/>
                            </w:rPr>
                          </m:ctrlPr>
                        </m:sSubPr>
                        <m:e>
                          <m:r>
                            <w:rPr>
                              <w:rFonts w:ascii="Cambria Math" w:hAnsi="Cambria Math"/>
                              <w:noProof/>
                              <w:sz w:val="20"/>
                              <w:szCs w:val="20"/>
                            </w:rPr>
                            <m:t>T</m:t>
                          </m:r>
                        </m:e>
                        <m:sub>
                          <m:r>
                            <w:rPr>
                              <w:rFonts w:ascii="Cambria Math" w:hAnsi="Cambria Math"/>
                              <w:noProof/>
                              <w:sz w:val="20"/>
                              <w:szCs w:val="20"/>
                            </w:rPr>
                            <m:t>max</m:t>
                          </m:r>
                        </m:sub>
                      </m:sSub>
                    </m:sub>
                    <m:sup>
                      <m:r>
                        <w:rPr>
                          <w:rFonts w:ascii="Cambria Math" w:hAnsi="Cambria Math"/>
                          <w:noProof/>
                          <w:sz w:val="20"/>
                          <w:szCs w:val="20"/>
                        </w:rPr>
                        <m:t>SL</m:t>
                      </m:r>
                    </m:sup>
                  </m:sSubSup>
                  <m:r>
                    <w:rPr>
                      <w:rFonts w:ascii="Cambria Math" w:hAnsi="Cambria Math"/>
                      <w:sz w:val="20"/>
                      <w:szCs w:val="20"/>
                      <w:lang w:val="en-US"/>
                    </w:rPr>
                    <m:t>()</m:t>
                  </m:r>
                </m:e>
              </m:d>
            </m:oMath>
            <w:r w:rsidRPr="00F91356">
              <w:rPr>
                <w:rFonts w:eastAsia="Malgun Gothic"/>
                <w:sz w:val="20"/>
                <w:szCs w:val="20"/>
                <w:lang w:val="en-US" w:eastAsia="ko-KR"/>
              </w:rPr>
              <w:t xml:space="preserve"> where</w:t>
            </w:r>
          </w:p>
          <w:p w14:paraId="10FFABE9" w14:textId="77777777" w:rsidR="00077322" w:rsidRPr="00F91356" w:rsidRDefault="00077322" w:rsidP="00335CF1">
            <w:pPr>
              <w:pStyle w:val="B1"/>
              <w:rPr>
                <w:rFonts w:eastAsia="Malgun Gothic"/>
                <w:sz w:val="20"/>
                <w:szCs w:val="20"/>
                <w:lang w:val="en-US" w:eastAsia="ko-KR"/>
              </w:rPr>
            </w:pPr>
            <w:r w:rsidRPr="00F91356">
              <w:rPr>
                <w:rFonts w:eastAsia="SimSun"/>
                <w:sz w:val="20"/>
                <w:szCs w:val="20"/>
                <w:lang w:val="en-US"/>
              </w:rPr>
              <w:t>-</w:t>
            </w:r>
            <w:r w:rsidRPr="00F91356">
              <w:rPr>
                <w:rFonts w:eastAsia="SimSun"/>
                <w:sz w:val="20"/>
                <w:szCs w:val="20"/>
                <w:lang w:val="en-US"/>
              </w:rPr>
              <w:tab/>
            </w:r>
            <m:oMath>
              <m:r>
                <w:rPr>
                  <w:rFonts w:ascii="Cambria Math" w:eastAsia="SimSun" w:hAnsi="Cambria Math"/>
                  <w:sz w:val="20"/>
                  <w:szCs w:val="20"/>
                  <w:lang w:val="en-US"/>
                </w:rPr>
                <m:t>0≤</m:t>
              </m:r>
              <m:sSubSup>
                <m:sSubSupPr>
                  <m:ctrlPr>
                    <w:rPr>
                      <w:rFonts w:ascii="Cambria Math" w:eastAsia="SimSun" w:hAnsi="Cambria Math"/>
                      <w:i/>
                      <w:sz w:val="20"/>
                      <w:szCs w:val="20"/>
                    </w:rPr>
                  </m:ctrlPr>
                </m:sSubSupPr>
                <m:e>
                  <m:r>
                    <w:rPr>
                      <w:rFonts w:ascii="Cambria Math" w:eastAsia="SimSun" w:hAnsi="Cambria Math"/>
                      <w:noProof/>
                      <w:sz w:val="20"/>
                      <w:szCs w:val="20"/>
                    </w:rPr>
                    <m:t>t</m:t>
                  </m:r>
                </m:e>
                <m:sub>
                  <m:r>
                    <w:rPr>
                      <w:rFonts w:ascii="Cambria Math" w:eastAsia="SimSun" w:hAnsi="Cambria Math"/>
                      <w:noProof/>
                      <w:sz w:val="20"/>
                      <w:szCs w:val="20"/>
                    </w:rPr>
                    <m:t>i</m:t>
                  </m:r>
                </m:sub>
                <m:sup>
                  <m:r>
                    <w:rPr>
                      <w:rFonts w:ascii="Cambria Math" w:eastAsia="SimSun" w:hAnsi="Cambria Math"/>
                      <w:noProof/>
                      <w:sz w:val="20"/>
                      <w:szCs w:val="20"/>
                    </w:rPr>
                    <m:t>SL</m:t>
                  </m:r>
                </m:sup>
              </m:sSubSup>
              <m:r>
                <w:rPr>
                  <w:rFonts w:ascii="Cambria Math" w:eastAsia="SimSun" w:hAnsi="Cambria Math"/>
                  <w:sz w:val="20"/>
                  <w:szCs w:val="20"/>
                  <w:lang w:val="en-US"/>
                </w:rPr>
                <m:t>&lt;10240</m:t>
              </m:r>
            </m:oMath>
            <w:r w:rsidRPr="00F91356">
              <w:rPr>
                <w:rFonts w:eastAsia="Malgun Gothic"/>
                <w:sz w:val="20"/>
                <w:szCs w:val="20"/>
                <w:lang w:val="en-US" w:eastAsia="ko-KR"/>
              </w:rPr>
              <w:t>,</w:t>
            </w:r>
          </w:p>
          <w:p w14:paraId="3B72D180" w14:textId="77777777" w:rsidR="00077322" w:rsidRPr="00F91356" w:rsidRDefault="00077322" w:rsidP="00335CF1">
            <w:pPr>
              <w:pStyle w:val="B1"/>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the subframe index is relative to subframe#0 of the radio frame corresponding to SFN 0 of the serving cell or DFN 0 (described in [11]),</w:t>
            </w:r>
          </w:p>
          <w:p w14:paraId="3EDBFCC2" w14:textId="77777777" w:rsidR="00077322" w:rsidRPr="00F91356" w:rsidRDefault="00077322" w:rsidP="00335CF1">
            <w:pPr>
              <w:pStyle w:val="B1"/>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 xml:space="preserve">the set includes all the subframes except the following subframes, </w:t>
            </w:r>
          </w:p>
          <w:p w14:paraId="187C6F7A" w14:textId="77777777" w:rsidR="00077322" w:rsidRPr="00F91356" w:rsidRDefault="00077322" w:rsidP="00335CF1">
            <w:pPr>
              <w:pStyle w:val="B2"/>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subframes in which SLSS resource is configured,</w:t>
            </w:r>
          </w:p>
          <w:p w14:paraId="78CD5C5B" w14:textId="77777777" w:rsidR="00077322" w:rsidRPr="00F91356" w:rsidRDefault="00077322" w:rsidP="00335CF1">
            <w:pPr>
              <w:pStyle w:val="B2"/>
              <w:rPr>
                <w:rFonts w:eastAsia="Malgun Gothic"/>
                <w:sz w:val="20"/>
                <w:szCs w:val="20"/>
                <w:lang w:val="en-US" w:eastAsia="ko-KR"/>
              </w:rPr>
            </w:pPr>
            <w:r w:rsidRPr="00F91356">
              <w:rPr>
                <w:rFonts w:eastAsia="Malgun Gothic"/>
                <w:sz w:val="20"/>
                <w:szCs w:val="20"/>
                <w:lang w:val="en-US" w:eastAsia="ko-KR"/>
              </w:rPr>
              <w:lastRenderedPageBreak/>
              <w:t>-</w:t>
            </w:r>
            <w:r w:rsidRPr="00F91356">
              <w:rPr>
                <w:rFonts w:eastAsia="Malgun Gothic"/>
                <w:sz w:val="20"/>
                <w:szCs w:val="20"/>
                <w:lang w:val="en-US" w:eastAsia="ko-KR"/>
              </w:rPr>
              <w:tab/>
              <w:t>downlink subframes and special subframes if the sidelink transmission occurs in a TDD cell,</w:t>
            </w:r>
          </w:p>
          <w:p w14:paraId="795D025F" w14:textId="77777777" w:rsidR="00077322" w:rsidRPr="00F91356" w:rsidRDefault="00077322" w:rsidP="00335CF1">
            <w:pPr>
              <w:pStyle w:val="B2"/>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reserved subframes which are determined by the following steps:</w:t>
            </w:r>
          </w:p>
          <w:p w14:paraId="0030E556" w14:textId="77777777" w:rsidR="00077322" w:rsidRPr="00F91356" w:rsidRDefault="00077322" w:rsidP="00335CF1">
            <w:pPr>
              <w:pStyle w:val="B3"/>
              <w:rPr>
                <w:rFonts w:eastAsia="Malgun Gothic"/>
                <w:sz w:val="20"/>
                <w:szCs w:val="20"/>
                <w:lang w:val="en-US" w:eastAsia="ko-KR"/>
              </w:rPr>
            </w:pPr>
            <w:r w:rsidRPr="00F91356">
              <w:rPr>
                <w:rFonts w:eastAsia="Malgun Gothic"/>
                <w:sz w:val="20"/>
                <w:szCs w:val="20"/>
                <w:lang w:val="en-US" w:eastAsia="ko-KR"/>
              </w:rPr>
              <w:t>1)</w:t>
            </w:r>
            <w:r w:rsidRPr="00F91356">
              <w:rPr>
                <w:rFonts w:eastAsia="Malgun Gothic"/>
                <w:sz w:val="20"/>
                <w:szCs w:val="20"/>
                <w:lang w:val="en-US" w:eastAsia="ko-KR"/>
              </w:rPr>
              <w:tab/>
              <w:t xml:space="preserve">the remaining subframes excluding </w:t>
            </w:r>
            <m:oMath>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oMath>
            <w:r w:rsidRPr="00F91356">
              <w:rPr>
                <w:rFonts w:eastAsia="Malgun Gothic"/>
                <w:sz w:val="20"/>
                <w:szCs w:val="20"/>
                <w:lang w:val="en-US" w:eastAsia="ko-KR"/>
              </w:rPr>
              <w:t xml:space="preserve"> and </w:t>
            </w:r>
            <m:oMath>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oMath>
            <w:r w:rsidRPr="00F91356">
              <w:rPr>
                <w:rFonts w:eastAsia="Malgun Gothic"/>
                <w:sz w:val="20"/>
                <w:szCs w:val="20"/>
                <w:lang w:val="en-US" w:eastAsia="ko-KR"/>
              </w:rPr>
              <w:t xml:space="preserve"> subframes from the set of all the subframes are denoted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noProof/>
                          <w:sz w:val="20"/>
                          <w:szCs w:val="20"/>
                        </w:rPr>
                        <m:t>l</m:t>
                      </m:r>
                    </m:e>
                    <m:sub>
                      <m:r>
                        <w:rPr>
                          <w:rFonts w:ascii="Cambria Math" w:hAnsi="Cambria Math"/>
                          <w:sz w:val="20"/>
                          <w:szCs w:val="20"/>
                          <w:lang w:val="en-US"/>
                        </w:rPr>
                        <m:t>0</m:t>
                      </m:r>
                    </m:sub>
                  </m:sSub>
                  <m:r>
                    <w:rPr>
                      <w:rFonts w:ascii="Cambria Math" w:hAnsi="Cambria Math"/>
                      <w:sz w:val="20"/>
                      <w:szCs w:val="20"/>
                      <w:lang w:val="en-US"/>
                    </w:rPr>
                    <m:t>,</m:t>
                  </m:r>
                  <m:r>
                    <m:rPr>
                      <m:nor/>
                    </m:rPr>
                    <w:rPr>
                      <w:sz w:val="20"/>
                      <w:szCs w:val="20"/>
                      <w:lang w:val="en-US"/>
                    </w:rPr>
                    <m:t xml:space="preserve"> </m:t>
                  </m:r>
                  <m:sSub>
                    <m:sSubPr>
                      <m:ctrlPr>
                        <w:rPr>
                          <w:rFonts w:ascii="Cambria Math" w:hAnsi="Cambria Math"/>
                          <w:sz w:val="20"/>
                          <w:szCs w:val="20"/>
                        </w:rPr>
                      </m:ctrlPr>
                    </m:sSubPr>
                    <m:e>
                      <m:r>
                        <m:rPr>
                          <m:nor/>
                        </m:rPr>
                        <w:rPr>
                          <w:sz w:val="20"/>
                          <w:szCs w:val="20"/>
                          <w:lang w:val="en-US"/>
                        </w:rPr>
                        <m:t>l</m:t>
                      </m:r>
                    </m:e>
                    <m:sub>
                      <m:r>
                        <w:rPr>
                          <w:rFonts w:ascii="Cambria Math" w:hAnsi="Cambria Math"/>
                          <w:sz w:val="20"/>
                          <w:szCs w:val="20"/>
                          <w:lang w:val="en-US"/>
                        </w:rPr>
                        <m:t>1</m:t>
                      </m:r>
                      <m:ctrlPr>
                        <w:rPr>
                          <w:rFonts w:ascii="Cambria Math" w:hAnsi="Cambria Math"/>
                          <w:i/>
                          <w:sz w:val="20"/>
                          <w:szCs w:val="20"/>
                        </w:rPr>
                      </m:ctrlPr>
                    </m:sub>
                  </m:sSub>
                  <m:r>
                    <w:rPr>
                      <w:rFonts w:ascii="Cambria Math" w:hAnsi="Cambria Math"/>
                      <w:sz w:val="20"/>
                      <w:szCs w:val="20"/>
                      <w:lang w:val="en-US"/>
                    </w:rPr>
                    <m:t>,...,</m:t>
                  </m:r>
                  <m:r>
                    <m:rPr>
                      <m:nor/>
                    </m:rPr>
                    <w:rPr>
                      <w:sz w:val="20"/>
                      <w:szCs w:val="20"/>
                      <w:lang w:val="en-US"/>
                    </w:rPr>
                    <m:t xml:space="preserve"> </m:t>
                  </m:r>
                  <m:sSub>
                    <m:sSubPr>
                      <m:ctrlPr>
                        <w:rPr>
                          <w:rFonts w:ascii="Cambria Math" w:hAnsi="Cambria Math"/>
                          <w:sz w:val="20"/>
                          <w:szCs w:val="20"/>
                        </w:rPr>
                      </m:ctrlPr>
                    </m:sSubPr>
                    <m:e>
                      <m:r>
                        <m:rPr>
                          <m:nor/>
                        </m:rPr>
                        <w:rPr>
                          <w:sz w:val="20"/>
                          <w:szCs w:val="20"/>
                          <w:lang w:val="en-US"/>
                        </w:rPr>
                        <m:t>l</m:t>
                      </m:r>
                    </m:e>
                    <m:sub>
                      <m:r>
                        <w:rPr>
                          <w:rFonts w:ascii="Cambria Math" w:hAnsi="Cambria Math"/>
                          <w:sz w:val="20"/>
                          <w:szCs w:val="20"/>
                          <w:lang w:val="en-US"/>
                        </w:rPr>
                        <m:t>(10240-</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r>
                        <w:rPr>
                          <w:rFonts w:ascii="Cambria Math" w:hAnsi="Cambria Math"/>
                          <w:sz w:val="20"/>
                          <w:szCs w:val="20"/>
                          <w:lang w:val="en-US"/>
                        </w:rPr>
                        <m:t>-1)</m:t>
                      </m:r>
                      <m:ctrlPr>
                        <w:rPr>
                          <w:rFonts w:ascii="Cambria Math" w:hAnsi="Cambria Math"/>
                          <w:i/>
                          <w:sz w:val="20"/>
                          <w:szCs w:val="20"/>
                        </w:rPr>
                      </m:ctrlPr>
                    </m:sub>
                  </m:sSub>
                </m:e>
              </m:d>
            </m:oMath>
            <w:r w:rsidRPr="00F91356">
              <w:rPr>
                <w:noProof/>
                <w:position w:val="-16"/>
              </w:rPr>
              <mc:AlternateContent>
                <mc:Choice Requires="wps">
                  <w:drawing>
                    <wp:inline distT="0" distB="0" distL="0" distR="0" wp14:anchorId="04A89A47" wp14:editId="533358C7">
                      <wp:extent cx="1515110" cy="24574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151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0FC566" id="Rectangle 4" o:spid="_x0000_s1026" style="width:119.3pt;height: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" filled="f" stroked="f">
                      <o:lock v:ext="edit" aspectratio="t"/>
                      <w10:anchorlock/>
                    </v:rect>
                  </w:pict>
                </mc:Fallback>
              </mc:AlternateContent>
            </w:r>
            <w:r w:rsidRPr="00F91356">
              <w:rPr>
                <w:rFonts w:eastAsia="Malgun Gothic"/>
                <w:sz w:val="20"/>
                <w:szCs w:val="20"/>
                <w:lang w:val="en-US" w:eastAsia="ko-KR"/>
              </w:rPr>
              <w:t xml:space="preserve"> </w:t>
            </w:r>
            <w:r w:rsidRPr="00F91356">
              <w:rPr>
                <w:rFonts w:eastAsia="SimSun"/>
                <w:sz w:val="20"/>
                <w:szCs w:val="20"/>
                <w:lang w:val="en-US"/>
              </w:rPr>
              <w:t>arranged in increasing order of subframe index</w:t>
            </w:r>
            <w:r w:rsidRPr="00F91356">
              <w:rPr>
                <w:rFonts w:eastAsia="Malgun Gothic"/>
                <w:sz w:val="20"/>
                <w:szCs w:val="20"/>
                <w:lang w:val="en-US" w:eastAsia="ko-KR"/>
              </w:rPr>
              <w:t xml:space="preserve">, where </w:t>
            </w:r>
            <m:oMath>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oMath>
            <w:r w:rsidRPr="00F91356">
              <w:rPr>
                <w:rFonts w:eastAsia="Malgun Gothic"/>
                <w:sz w:val="20"/>
                <w:szCs w:val="20"/>
                <w:lang w:val="en-US" w:eastAsia="ko-KR"/>
              </w:rPr>
              <w:t xml:space="preserve"> is the number of subframes in which SLSS resource is configured within 10240 subframes and </w:t>
            </w:r>
            <m:oMath>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oMath>
            <w:r w:rsidRPr="00F91356">
              <w:rPr>
                <w:noProof/>
                <w:position w:val="-14"/>
              </w:rPr>
              <mc:AlternateContent>
                <mc:Choice Requires="wps">
                  <w:drawing>
                    <wp:inline distT="0" distB="0" distL="0" distR="0" wp14:anchorId="73E1B2F7" wp14:editId="349BA46B">
                      <wp:extent cx="313690" cy="23177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3690"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CB609A" id="Rectangle 3" o:spid="_x0000_s1026" style="width:24.7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" filled="f" stroked="f">
                      <o:lock v:ext="edit" aspectratio="t"/>
                      <w10:anchorlock/>
                    </v:rect>
                  </w:pict>
                </mc:Fallback>
              </mc:AlternateContent>
            </w:r>
            <w:r w:rsidRPr="00F91356">
              <w:rPr>
                <w:rFonts w:eastAsia="Malgun Gothic"/>
                <w:sz w:val="20"/>
                <w:szCs w:val="20"/>
                <w:lang w:val="en-US" w:eastAsia="ko-KR"/>
              </w:rPr>
              <w:t xml:space="preserve"> is the number of downlink subframes and special subframes within 10240 subframes if the sidelink transmission occurs in a TDD cell</w:t>
            </w:r>
            <w:r w:rsidRPr="00F91356">
              <w:rPr>
                <w:sz w:val="20"/>
                <w:szCs w:val="20"/>
                <w:lang w:val="en-US"/>
              </w:rPr>
              <w:t>.</w:t>
            </w:r>
          </w:p>
          <w:p w14:paraId="6EDABA3A" w14:textId="77777777" w:rsidR="00077322" w:rsidRPr="00F91356" w:rsidRDefault="00077322" w:rsidP="00335CF1">
            <w:pPr>
              <w:pStyle w:val="B3"/>
              <w:rPr>
                <w:rFonts w:eastAsia="Malgun Gothic"/>
                <w:sz w:val="20"/>
                <w:szCs w:val="20"/>
                <w:lang w:val="en-US" w:eastAsia="ko-KR"/>
              </w:rPr>
            </w:pPr>
            <w:r w:rsidRPr="00F91356">
              <w:rPr>
                <w:rFonts w:eastAsia="Malgun Gothic"/>
                <w:sz w:val="20"/>
                <w:szCs w:val="20"/>
                <w:lang w:val="en-US" w:eastAsia="ko-KR"/>
              </w:rPr>
              <w:t>2)</w:t>
            </w:r>
            <w:r w:rsidRPr="00F91356">
              <w:rPr>
                <w:rFonts w:eastAsia="Malgun Gothic"/>
                <w:sz w:val="20"/>
                <w:szCs w:val="20"/>
                <w:lang w:val="en-US" w:eastAsia="ko-KR"/>
              </w:rPr>
              <w:tab/>
              <w:t xml:space="preserve">a subframe </w:t>
            </w:r>
            <m:oMath>
              <m:sSub>
                <m:sSubPr>
                  <m:ctrlPr>
                    <w:rPr>
                      <w:rFonts w:ascii="Cambria Math" w:hAnsi="Cambria Math"/>
                      <w:i/>
                      <w:sz w:val="20"/>
                      <w:szCs w:val="20"/>
                    </w:rPr>
                  </m:ctrlPr>
                </m:sSubPr>
                <m:e>
                  <m:r>
                    <w:rPr>
                      <w:rFonts w:ascii="Cambria Math" w:hAnsi="Cambria Math"/>
                      <w:noProof/>
                      <w:sz w:val="20"/>
                      <w:szCs w:val="20"/>
                    </w:rPr>
                    <m:t>l</m:t>
                  </m:r>
                </m:e>
                <m:sub>
                  <m:r>
                    <w:rPr>
                      <w:rFonts w:ascii="Cambria Math" w:hAnsi="Cambria Math"/>
                      <w:noProof/>
                      <w:sz w:val="20"/>
                      <w:szCs w:val="20"/>
                    </w:rPr>
                    <m:t>r</m:t>
                  </m:r>
                </m:sub>
              </m:sSub>
              <m:d>
                <m:dPr>
                  <m:ctrlPr>
                    <w:rPr>
                      <w:rFonts w:ascii="Cambria Math" w:hAnsi="Cambria Math"/>
                      <w:i/>
                      <w:sz w:val="20"/>
                      <w:szCs w:val="20"/>
                    </w:rPr>
                  </m:ctrlPr>
                </m:dPr>
                <m:e>
                  <m:r>
                    <w:rPr>
                      <w:rFonts w:ascii="Cambria Math" w:hAnsi="Cambria Math"/>
                      <w:sz w:val="20"/>
                      <w:szCs w:val="20"/>
                      <w:lang w:val="en-US"/>
                    </w:rPr>
                    <m:t>0≤</m:t>
                  </m:r>
                  <m:r>
                    <w:rPr>
                      <w:rFonts w:ascii="Cambria Math" w:hAnsi="Cambria Math"/>
                      <w:noProof/>
                      <w:sz w:val="20"/>
                      <w:szCs w:val="20"/>
                    </w:rPr>
                    <m:t>r</m:t>
                  </m:r>
                  <m:r>
                    <w:rPr>
                      <w:rFonts w:ascii="Cambria Math" w:hAnsi="Cambria Math"/>
                      <w:sz w:val="20"/>
                      <w:szCs w:val="20"/>
                      <w:lang w:val="en-US"/>
                    </w:rPr>
                    <m:t>&lt;</m:t>
                  </m:r>
                  <m:d>
                    <m:dPr>
                      <m:ctrlPr>
                        <w:rPr>
                          <w:rFonts w:ascii="Cambria Math" w:hAnsi="Cambria Math"/>
                          <w:i/>
                          <w:sz w:val="20"/>
                          <w:szCs w:val="20"/>
                        </w:rPr>
                      </m:ctrlPr>
                    </m:dPr>
                    <m:e>
                      <m:r>
                        <w:rPr>
                          <w:rFonts w:ascii="Cambria Math" w:hAnsi="Cambria Math"/>
                          <w:sz w:val="20"/>
                          <w:szCs w:val="20"/>
                          <w:lang w:val="en-US"/>
                        </w:rPr>
                        <m:t>10240-</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e>
                  </m:d>
                </m:e>
              </m:d>
            </m:oMath>
            <w:r w:rsidRPr="00F91356">
              <w:rPr>
                <w:rFonts w:eastAsia="Malgun Gothic"/>
                <w:sz w:val="20"/>
                <w:szCs w:val="20"/>
                <w:lang w:val="en-US" w:eastAsia="ko-KR"/>
              </w:rPr>
              <w:t xml:space="preserve"> belongs to the reserved subframes if </w:t>
            </w:r>
            <m:oMath>
              <m:r>
                <w:rPr>
                  <w:rFonts w:ascii="Cambria Math" w:hAnsi="Cambria Math"/>
                  <w:noProof/>
                  <w:sz w:val="20"/>
                  <w:szCs w:val="20"/>
                </w:rPr>
                <m:t>r</m:t>
              </m:r>
              <m:r>
                <w:rPr>
                  <w:rFonts w:ascii="Cambria Math" w:hAnsi="Cambria Math"/>
                  <w:sz w:val="20"/>
                  <w:szCs w:val="20"/>
                  <w:lang w:val="en-US"/>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noProof/>
                          <w:sz w:val="20"/>
                          <w:szCs w:val="20"/>
                        </w:rPr>
                        <m:t>m</m:t>
                      </m:r>
                      <m:r>
                        <w:rPr>
                          <w:rFonts w:ascii="Cambria Math" w:hAnsi="Cambria Math"/>
                          <w:sz w:val="20"/>
                          <w:szCs w:val="20"/>
                          <w:lang w:val="en-US"/>
                        </w:rPr>
                        <m:t>⋅</m:t>
                      </m:r>
                      <m:d>
                        <m:dPr>
                          <m:ctrlPr>
                            <w:rPr>
                              <w:rFonts w:ascii="Cambria Math" w:hAnsi="Cambria Math"/>
                              <w:i/>
                              <w:sz w:val="20"/>
                              <w:szCs w:val="20"/>
                            </w:rPr>
                          </m:ctrlPr>
                        </m:dPr>
                        <m:e>
                          <m:r>
                            <w:rPr>
                              <w:rFonts w:ascii="Cambria Math" w:hAnsi="Cambria Math"/>
                              <w:sz w:val="20"/>
                              <w:szCs w:val="20"/>
                              <w:lang w:val="en-US"/>
                            </w:rPr>
                            <m:t>10240-</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e>
                      </m:d>
                    </m:num>
                    <m:den>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reserved</m:t>
                          </m:r>
                        </m:sub>
                      </m:sSub>
                    </m:den>
                  </m:f>
                </m:e>
              </m:d>
            </m:oMath>
            <w:r w:rsidRPr="00F91356">
              <w:rPr>
                <w:rFonts w:eastAsia="Malgun Gothic"/>
                <w:sz w:val="20"/>
                <w:szCs w:val="20"/>
                <w:lang w:val="en-US" w:eastAsia="ko-KR"/>
              </w:rPr>
              <w:t xml:space="preserve"> where </w:t>
            </w:r>
            <m:oMath>
              <m:r>
                <w:rPr>
                  <w:rFonts w:ascii="Cambria Math" w:hAnsi="Cambria Math"/>
                  <w:noProof/>
                  <w:sz w:val="20"/>
                  <w:szCs w:val="20"/>
                </w:rPr>
                <m:t>m</m:t>
              </m:r>
              <m:r>
                <w:rPr>
                  <w:rFonts w:ascii="Cambria Math" w:hAnsi="Cambria Math"/>
                  <w:sz w:val="20"/>
                  <w:szCs w:val="20"/>
                  <w:lang w:val="en-US"/>
                </w:rPr>
                <m:t xml:space="preserve">=0, ..., </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reserved</m:t>
                  </m:r>
                </m:sub>
              </m:sSub>
              <m:r>
                <w:rPr>
                  <w:rFonts w:ascii="Cambria Math" w:hAnsi="Cambria Math"/>
                  <w:sz w:val="20"/>
                  <w:szCs w:val="20"/>
                  <w:lang w:val="en-US"/>
                </w:rPr>
                <m:t>-1</m:t>
              </m:r>
            </m:oMath>
            <w:r w:rsidRPr="00F91356">
              <w:rPr>
                <w:rFonts w:eastAsia="Malgun Gothic"/>
                <w:sz w:val="20"/>
                <w:szCs w:val="20"/>
                <w:lang w:val="en-US" w:eastAsia="ko-KR"/>
              </w:rPr>
              <w:t xml:space="preserve"> and </w:t>
            </w:r>
            <m:oMath>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reserved</m:t>
                  </m:r>
                </m:sub>
              </m:sSub>
              <m:r>
                <w:rPr>
                  <w:rFonts w:ascii="Cambria Math" w:hAnsi="Cambria Math"/>
                  <w:sz w:val="20"/>
                  <w:szCs w:val="20"/>
                  <w:lang w:val="en-US"/>
                </w:rPr>
                <m:t>=</m:t>
              </m:r>
              <m:d>
                <m:dPr>
                  <m:ctrlPr>
                    <w:rPr>
                      <w:rFonts w:ascii="Cambria Math" w:hAnsi="Cambria Math"/>
                      <w:i/>
                      <w:sz w:val="20"/>
                      <w:szCs w:val="20"/>
                    </w:rPr>
                  </m:ctrlPr>
                </m:dPr>
                <m:e>
                  <m:r>
                    <w:rPr>
                      <w:rFonts w:ascii="Cambria Math" w:hAnsi="Cambria Math"/>
                      <w:sz w:val="20"/>
                      <w:szCs w:val="20"/>
                      <w:lang w:val="en-US"/>
                    </w:rPr>
                    <m:t>10240-</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e>
              </m:d>
              <m:r>
                <m:rPr>
                  <m:nor/>
                </m:rPr>
                <w:rPr>
                  <w:sz w:val="20"/>
                  <w:szCs w:val="20"/>
                  <w:lang w:val="en-US"/>
                </w:rPr>
                <m:t xml:space="preserve"> mod </m:t>
              </m:r>
              <m:sSub>
                <m:sSubPr>
                  <m:ctrlPr>
                    <w:rPr>
                      <w:rFonts w:ascii="Cambria Math" w:hAnsi="Cambria Math"/>
                      <w:sz w:val="20"/>
                      <w:szCs w:val="20"/>
                    </w:rPr>
                  </m:ctrlPr>
                </m:sSubPr>
                <m:e>
                  <m:r>
                    <w:rPr>
                      <w:rFonts w:ascii="Cambria Math" w:hAnsi="Cambria Math"/>
                      <w:noProof/>
                      <w:sz w:val="20"/>
                      <w:szCs w:val="20"/>
                    </w:rPr>
                    <m:t>L</m:t>
                  </m:r>
                </m:e>
                <m:sub>
                  <m:r>
                    <w:rPr>
                      <w:rFonts w:ascii="Cambria Math" w:hAnsi="Cambria Math"/>
                      <w:noProof/>
                      <w:sz w:val="20"/>
                      <w:szCs w:val="20"/>
                    </w:rPr>
                    <m:t>bitmap</m:t>
                  </m:r>
                  <m:ctrlPr>
                    <w:rPr>
                      <w:rFonts w:ascii="Cambria Math" w:hAnsi="Cambria Math"/>
                      <w:i/>
                      <w:sz w:val="20"/>
                      <w:szCs w:val="20"/>
                    </w:rPr>
                  </m:ctrlPr>
                </m:sub>
              </m:sSub>
            </m:oMath>
            <w:r w:rsidRPr="00F91356">
              <w:rPr>
                <w:rFonts w:eastAsia="Malgun Gothic"/>
                <w:sz w:val="20"/>
                <w:szCs w:val="20"/>
                <w:lang w:val="en-US" w:eastAsia="ko-KR"/>
              </w:rPr>
              <w:t xml:space="preserve">. Here, </w:t>
            </w:r>
            <m:oMath>
              <m:sSub>
                <m:sSubPr>
                  <m:ctrlPr>
                    <w:rPr>
                      <w:rFonts w:ascii="Cambria Math" w:eastAsia="SimSun" w:hAnsi="Cambria Math"/>
                      <w:i/>
                      <w:sz w:val="20"/>
                      <w:szCs w:val="20"/>
                    </w:rPr>
                  </m:ctrlPr>
                </m:sSubPr>
                <m:e>
                  <m:r>
                    <w:rPr>
                      <w:rFonts w:ascii="Cambria Math" w:eastAsia="SimSun" w:hAnsi="Cambria Math"/>
                      <w:noProof/>
                      <w:sz w:val="20"/>
                      <w:szCs w:val="20"/>
                    </w:rPr>
                    <m:t>L</m:t>
                  </m:r>
                </m:e>
                <m:sub>
                  <m:r>
                    <w:rPr>
                      <w:rFonts w:ascii="Cambria Math" w:eastAsia="SimSun" w:hAnsi="Cambria Math"/>
                      <w:noProof/>
                      <w:sz w:val="20"/>
                      <w:szCs w:val="20"/>
                    </w:rPr>
                    <m:t>bitmap</m:t>
                  </m:r>
                </m:sub>
              </m:sSub>
            </m:oMath>
            <w:r w:rsidRPr="00F91356">
              <w:rPr>
                <w:rFonts w:eastAsia="SimSun"/>
                <w:noProof/>
                <w:position w:val="-14"/>
              </w:rPr>
              <mc:AlternateContent>
                <mc:Choice Requires="wps">
                  <w:drawing>
                    <wp:inline distT="0" distB="0" distL="0" distR="0" wp14:anchorId="51FF6BEB" wp14:editId="4EDC0869">
                      <wp:extent cx="382270" cy="24574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22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B9EC54" id="Rectangle 2" o:spid="_x0000_s1026" style="width:30.1pt;height: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" filled="f" stroked="f">
                      <o:lock v:ext="edit" aspectratio="t"/>
                      <w10:anchorlock/>
                    </v:rect>
                  </w:pict>
                </mc:Fallback>
              </mc:AlternateContent>
            </w:r>
            <w:r w:rsidRPr="00F91356">
              <w:rPr>
                <w:rFonts w:eastAsia="Malgun Gothic"/>
                <w:sz w:val="20"/>
                <w:szCs w:val="20"/>
                <w:lang w:val="en-US" w:eastAsia="ko-KR"/>
              </w:rPr>
              <w:t xml:space="preserve"> the length of the bitmap is configured by higher layers.</w:t>
            </w:r>
          </w:p>
          <w:p w14:paraId="582746CB" w14:textId="77777777" w:rsidR="00077322" w:rsidRPr="00F91356" w:rsidRDefault="00077322" w:rsidP="00335CF1">
            <w:pPr>
              <w:pStyle w:val="B1"/>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the subframes are arranged in increasing order of subframe index.</w:t>
            </w:r>
          </w:p>
          <w:p w14:paraId="75D3CE68" w14:textId="77777777" w:rsidR="00077322" w:rsidRPr="00F91356" w:rsidRDefault="00077322" w:rsidP="00335CF1">
            <w:pPr>
              <w:rPr>
                <w:rFonts w:eastAsia="Malgun Gothic"/>
                <w:sz w:val="20"/>
                <w:szCs w:val="20"/>
                <w:lang w:val="en-US" w:eastAsia="ko-KR"/>
              </w:rPr>
            </w:pPr>
            <w:r w:rsidRPr="00F91356">
              <w:rPr>
                <w:rFonts w:eastAsia="Malgun Gothic"/>
                <w:sz w:val="20"/>
                <w:szCs w:val="20"/>
                <w:lang w:val="en-US" w:eastAsia="ko-KR"/>
              </w:rPr>
              <w:t>The UE determines the set of subframes assigned to a PSSCH resource pool as follows:</w:t>
            </w:r>
          </w:p>
          <w:p w14:paraId="59A264DD" w14:textId="77777777" w:rsidR="00077322" w:rsidRPr="00F91356" w:rsidRDefault="00077322" w:rsidP="00335CF1">
            <w:pPr>
              <w:pStyle w:val="B1"/>
              <w:ind w:hanging="283"/>
              <w:rPr>
                <w:rFonts w:eastAsia="Malgun Gothic"/>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 xml:space="preserve">A bitmap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noProof/>
                          <w:sz w:val="20"/>
                          <w:szCs w:val="20"/>
                        </w:rPr>
                        <m:t>b</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b</m:t>
                      </m:r>
                    </m:e>
                    <m:sub>
                      <m:r>
                        <w:rPr>
                          <w:rFonts w:ascii="Cambria Math" w:hAnsi="Cambria Math"/>
                          <w:sz w:val="20"/>
                          <w:szCs w:val="20"/>
                          <w:lang w:val="en-US"/>
                        </w:rPr>
                        <m:t>1</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b</m:t>
                      </m:r>
                    </m:e>
                    <m:sub>
                      <m:sSub>
                        <m:sSubPr>
                          <m:ctrlPr>
                            <w:rPr>
                              <w:rFonts w:ascii="Cambria Math" w:hAnsi="Cambria Math"/>
                              <w:i/>
                              <w:sz w:val="20"/>
                              <w:szCs w:val="20"/>
                            </w:rPr>
                          </m:ctrlPr>
                        </m:sSubPr>
                        <m:e>
                          <m:r>
                            <w:rPr>
                              <w:rFonts w:ascii="Cambria Math" w:hAnsi="Cambria Math"/>
                              <w:noProof/>
                              <w:sz w:val="20"/>
                              <w:szCs w:val="20"/>
                            </w:rPr>
                            <m:t>L</m:t>
                          </m:r>
                        </m:e>
                        <m:sub>
                          <m:r>
                            <w:rPr>
                              <w:rFonts w:ascii="Cambria Math" w:hAnsi="Cambria Math"/>
                              <w:noProof/>
                              <w:sz w:val="20"/>
                              <w:szCs w:val="20"/>
                            </w:rPr>
                            <m:t>bitmap</m:t>
                          </m:r>
                        </m:sub>
                      </m:sSub>
                    </m:sub>
                  </m:sSub>
                </m:e>
              </m:d>
            </m:oMath>
            <w:r w:rsidRPr="00F91356">
              <w:rPr>
                <w:rFonts w:eastAsia="Malgun Gothic"/>
                <w:sz w:val="20"/>
                <w:szCs w:val="20"/>
                <w:lang w:val="en-US" w:eastAsia="ko-KR"/>
              </w:rPr>
              <w:t xml:space="preserve"> associated with the resource pool is used where </w:t>
            </w:r>
            <m:oMath>
              <m:sSub>
                <m:sSubPr>
                  <m:ctrlPr>
                    <w:rPr>
                      <w:rFonts w:ascii="Cambria Math" w:eastAsia="SimSun" w:hAnsi="Cambria Math"/>
                      <w:i/>
                      <w:sz w:val="20"/>
                      <w:szCs w:val="20"/>
                    </w:rPr>
                  </m:ctrlPr>
                </m:sSubPr>
                <m:e>
                  <m:r>
                    <w:rPr>
                      <w:rFonts w:ascii="Cambria Math" w:eastAsia="SimSun" w:hAnsi="Cambria Math"/>
                      <w:noProof/>
                      <w:sz w:val="20"/>
                      <w:szCs w:val="20"/>
                    </w:rPr>
                    <m:t>L</m:t>
                  </m:r>
                </m:e>
                <m:sub>
                  <m:r>
                    <w:rPr>
                      <w:rFonts w:ascii="Cambria Math" w:eastAsia="SimSun" w:hAnsi="Cambria Math"/>
                      <w:noProof/>
                      <w:sz w:val="20"/>
                      <w:szCs w:val="20"/>
                    </w:rPr>
                    <m:t>bitmap</m:t>
                  </m:r>
                </m:sub>
              </m:sSub>
              <m:r>
                <w:rPr>
                  <w:rFonts w:ascii="Cambria Math" w:eastAsia="SimSun" w:hAnsi="Cambria Math"/>
                  <w:sz w:val="20"/>
                  <w:szCs w:val="20"/>
                  <w:lang w:val="en-US"/>
                </w:rPr>
                <m:t xml:space="preserve"> </m:t>
              </m:r>
            </m:oMath>
            <w:r w:rsidRPr="00F91356">
              <w:rPr>
                <w:rFonts w:eastAsia="Malgun Gothic"/>
                <w:sz w:val="20"/>
                <w:szCs w:val="20"/>
                <w:lang w:val="en-US" w:eastAsia="ko-KR"/>
              </w:rPr>
              <w:t>the length of the bitmap is configured by higher layers.</w:t>
            </w:r>
          </w:p>
          <w:p w14:paraId="46046081" w14:textId="77777777" w:rsidR="00077322" w:rsidRPr="001E5B09" w:rsidRDefault="00077322" w:rsidP="00335CF1">
            <w:pPr>
              <w:pStyle w:val="B1"/>
              <w:ind w:hanging="283"/>
              <w:rPr>
                <w:rFonts w:ascii="Arial" w:eastAsia="Malgun Gothic" w:hAnsi="Arial" w:cs="Arial"/>
                <w:sz w:val="20"/>
                <w:szCs w:val="20"/>
                <w:lang w:val="en-US" w:eastAsia="ko-KR"/>
              </w:rPr>
            </w:pPr>
            <w:r w:rsidRPr="00F91356">
              <w:rPr>
                <w:rFonts w:eastAsia="Malgun Gothic"/>
                <w:sz w:val="20"/>
                <w:szCs w:val="20"/>
                <w:lang w:val="en-US" w:eastAsia="ko-KR"/>
              </w:rPr>
              <w:t>-</w:t>
            </w:r>
            <w:r w:rsidRPr="00F91356">
              <w:rPr>
                <w:rFonts w:eastAsia="Malgun Gothic"/>
                <w:sz w:val="20"/>
                <w:szCs w:val="20"/>
                <w:lang w:val="en-US" w:eastAsia="ko-KR"/>
              </w:rPr>
              <w:tab/>
              <w:t xml:space="preserve">A subframe </w:t>
            </w:r>
            <m:oMath>
              <m:sSubSup>
                <m:sSubSupPr>
                  <m:ctrlPr>
                    <w:rPr>
                      <w:rFonts w:ascii="Cambria Math" w:hAnsi="Cambria Math"/>
                      <w:i/>
                      <w:sz w:val="20"/>
                      <w:szCs w:val="20"/>
                    </w:rPr>
                  </m:ctrlPr>
                </m:sSubSupPr>
                <m:e>
                  <m:r>
                    <w:rPr>
                      <w:rFonts w:ascii="Cambria Math" w:hAnsi="Cambria Math"/>
                      <w:noProof/>
                      <w:sz w:val="20"/>
                      <w:szCs w:val="20"/>
                    </w:rPr>
                    <m:t>t</m:t>
                  </m:r>
                </m:e>
                <m:sub>
                  <m:r>
                    <w:rPr>
                      <w:rFonts w:ascii="Cambria Math" w:hAnsi="Cambria Math"/>
                      <w:noProof/>
                      <w:sz w:val="20"/>
                      <w:szCs w:val="20"/>
                    </w:rPr>
                    <m:t>k</m:t>
                  </m:r>
                </m:sub>
                <m:sup>
                  <m:r>
                    <w:rPr>
                      <w:rFonts w:ascii="Cambria Math" w:hAnsi="Cambria Math"/>
                      <w:noProof/>
                      <w:sz w:val="20"/>
                      <w:szCs w:val="20"/>
                    </w:rPr>
                    <m:t>SL</m:t>
                  </m:r>
                </m:sup>
              </m:sSubSup>
              <m:d>
                <m:dPr>
                  <m:ctrlPr>
                    <w:rPr>
                      <w:rFonts w:ascii="Cambria Math" w:hAnsi="Cambria Math"/>
                      <w:i/>
                      <w:sz w:val="20"/>
                      <w:szCs w:val="20"/>
                    </w:rPr>
                  </m:ctrlPr>
                </m:dPr>
                <m:e>
                  <m:r>
                    <w:rPr>
                      <w:rFonts w:ascii="Cambria Math" w:hAnsi="Cambria Math"/>
                      <w:sz w:val="20"/>
                      <w:szCs w:val="20"/>
                      <w:lang w:val="en-US"/>
                    </w:rPr>
                    <m:t>0≤</m:t>
                  </m:r>
                  <m:r>
                    <w:rPr>
                      <w:rFonts w:ascii="Cambria Math" w:hAnsi="Cambria Math"/>
                      <w:noProof/>
                      <w:sz w:val="20"/>
                      <w:szCs w:val="20"/>
                    </w:rPr>
                    <m:t>k</m:t>
                  </m:r>
                  <m:r>
                    <w:rPr>
                      <w:rFonts w:ascii="Cambria Math" w:hAnsi="Cambria Math"/>
                      <w:sz w:val="20"/>
                      <w:szCs w:val="20"/>
                      <w:lang w:val="en-US"/>
                    </w:rPr>
                    <m:t>&lt;</m:t>
                  </m:r>
                  <m:d>
                    <m:dPr>
                      <m:ctrlPr>
                        <w:rPr>
                          <w:rFonts w:ascii="Cambria Math" w:hAnsi="Cambria Math"/>
                          <w:i/>
                          <w:sz w:val="20"/>
                          <w:szCs w:val="20"/>
                        </w:rPr>
                      </m:ctrlPr>
                    </m:dPr>
                    <m:e>
                      <m:r>
                        <w:rPr>
                          <w:rFonts w:ascii="Cambria Math" w:hAnsi="Cambria Math"/>
                          <w:sz w:val="20"/>
                          <w:szCs w:val="20"/>
                          <w:lang w:val="en-US"/>
                        </w:rPr>
                        <m:t>10240-</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slss</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dssf</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noProof/>
                              <w:sz w:val="20"/>
                              <w:szCs w:val="20"/>
                            </w:rPr>
                            <m:t>N</m:t>
                          </m:r>
                        </m:e>
                        <m:sub>
                          <m:r>
                            <w:rPr>
                              <w:rFonts w:ascii="Cambria Math" w:hAnsi="Cambria Math"/>
                              <w:noProof/>
                              <w:sz w:val="20"/>
                              <w:szCs w:val="20"/>
                            </w:rPr>
                            <m:t>reserved</m:t>
                          </m:r>
                        </m:sub>
                      </m:sSub>
                    </m:e>
                  </m:d>
                </m:e>
              </m:d>
            </m:oMath>
            <w:r w:rsidRPr="00F91356">
              <w:rPr>
                <w:rFonts w:eastAsia="Malgun Gothic"/>
                <w:sz w:val="20"/>
                <w:szCs w:val="20"/>
                <w:lang w:val="en-US" w:eastAsia="ko-KR"/>
              </w:rPr>
              <w:t xml:space="preserve"> belongs to the subframe pool if </w:t>
            </w:r>
            <m:oMath>
              <m:sSub>
                <m:sSubPr>
                  <m:ctrlPr>
                    <w:rPr>
                      <w:rFonts w:ascii="Cambria Math" w:eastAsia="SimSun" w:hAnsi="Cambria Math"/>
                      <w:i/>
                      <w:sz w:val="20"/>
                      <w:szCs w:val="20"/>
                    </w:rPr>
                  </m:ctrlPr>
                </m:sSubPr>
                <m:e>
                  <m:r>
                    <w:rPr>
                      <w:rFonts w:ascii="Cambria Math" w:eastAsia="SimSun" w:hAnsi="Cambria Math"/>
                      <w:noProof/>
                      <w:sz w:val="20"/>
                      <w:szCs w:val="20"/>
                    </w:rPr>
                    <m:t>b</m:t>
                  </m:r>
                </m:e>
                <m:sub>
                  <m:r>
                    <w:rPr>
                      <w:rFonts w:ascii="Cambria Math" w:eastAsia="SimSun" w:hAnsi="Cambria Math"/>
                      <w:noProof/>
                      <w:sz w:val="20"/>
                      <w:szCs w:val="20"/>
                    </w:rPr>
                    <m:t>k</m:t>
                  </m:r>
                  <m:r>
                    <w:rPr>
                      <w:rFonts w:ascii="Cambria Math" w:eastAsia="SimSun" w:hAnsi="Cambria Math"/>
                      <w:sz w:val="20"/>
                      <w:szCs w:val="20"/>
                      <w:lang w:val="en-US"/>
                    </w:rPr>
                    <m:t>'</m:t>
                  </m:r>
                </m:sub>
              </m:sSub>
              <m:r>
                <w:rPr>
                  <w:rFonts w:ascii="Cambria Math" w:eastAsia="SimSun" w:hAnsi="Cambria Math"/>
                  <w:sz w:val="20"/>
                  <w:szCs w:val="20"/>
                  <w:lang w:val="en-US"/>
                </w:rPr>
                <m:t xml:space="preserve">=1  </m:t>
              </m:r>
            </m:oMath>
            <w:r w:rsidRPr="00F91356">
              <w:rPr>
                <w:rFonts w:eastAsia="Malgun Gothic"/>
                <w:sz w:val="20"/>
                <w:szCs w:val="20"/>
                <w:lang w:val="en-US" w:eastAsia="ko-KR"/>
              </w:rPr>
              <w:t xml:space="preserve">where </w:t>
            </w:r>
            <m:oMath>
              <m:r>
                <w:rPr>
                  <w:rFonts w:ascii="Cambria Math" w:eastAsia="SimSun" w:hAnsi="Cambria Math"/>
                  <w:noProof/>
                  <w:sz w:val="20"/>
                  <w:szCs w:val="20"/>
                </w:rPr>
                <m:t>k</m:t>
              </m:r>
              <m:r>
                <w:rPr>
                  <w:rFonts w:ascii="Cambria Math" w:eastAsia="SimSun" w:hAnsi="Cambria Math"/>
                  <w:sz w:val="20"/>
                  <w:szCs w:val="20"/>
                  <w:lang w:val="en-US"/>
                </w:rPr>
                <m:t>'=</m:t>
              </m:r>
              <m:r>
                <w:rPr>
                  <w:rFonts w:ascii="Cambria Math" w:eastAsia="SimSun" w:hAnsi="Cambria Math"/>
                  <w:noProof/>
                  <w:sz w:val="20"/>
                  <w:szCs w:val="20"/>
                </w:rPr>
                <m:t>k</m:t>
              </m:r>
              <m:func>
                <m:funcPr>
                  <m:ctrlPr>
                    <w:rPr>
                      <w:rFonts w:ascii="Cambria Math" w:eastAsia="SimSun" w:hAnsi="Cambria Math"/>
                      <w:i/>
                      <w:sz w:val="20"/>
                      <w:szCs w:val="20"/>
                    </w:rPr>
                  </m:ctrlPr>
                </m:funcPr>
                <m:fName>
                  <m:r>
                    <w:rPr>
                      <w:rFonts w:ascii="Cambria Math" w:eastAsia="SimSun" w:hAnsi="Cambria Math"/>
                      <w:noProof/>
                      <w:sz w:val="20"/>
                      <w:szCs w:val="20"/>
                    </w:rPr>
                    <m:t>mod</m:t>
                  </m:r>
                </m:fName>
                <m:e>
                  <m:sSub>
                    <m:sSubPr>
                      <m:ctrlPr>
                        <w:rPr>
                          <w:rFonts w:ascii="Cambria Math" w:eastAsia="SimSun" w:hAnsi="Cambria Math"/>
                          <w:i/>
                          <w:sz w:val="20"/>
                          <w:szCs w:val="20"/>
                        </w:rPr>
                      </m:ctrlPr>
                    </m:sSubPr>
                    <m:e>
                      <m:r>
                        <w:rPr>
                          <w:rFonts w:ascii="Cambria Math" w:eastAsia="SimSun" w:hAnsi="Cambria Math"/>
                          <w:noProof/>
                          <w:sz w:val="20"/>
                          <w:szCs w:val="20"/>
                        </w:rPr>
                        <m:t>L</m:t>
                      </m:r>
                    </m:e>
                    <m:sub>
                      <m:r>
                        <w:rPr>
                          <w:rFonts w:ascii="Cambria Math" w:eastAsia="SimSun" w:hAnsi="Cambria Math"/>
                          <w:noProof/>
                          <w:sz w:val="20"/>
                          <w:szCs w:val="20"/>
                        </w:rPr>
                        <m:t>bitmap</m:t>
                      </m:r>
                    </m:sub>
                  </m:sSub>
                </m:e>
              </m:func>
            </m:oMath>
            <w:r w:rsidRPr="00F91356">
              <w:rPr>
                <w:rFonts w:eastAsia="SimSun"/>
                <w:noProof/>
                <w:position w:val="-14"/>
              </w:rPr>
              <mc:AlternateContent>
                <mc:Choice Requires="wps">
                  <w:drawing>
                    <wp:inline distT="0" distB="0" distL="0" distR="0" wp14:anchorId="6A3B8F84" wp14:editId="09FD9FF6">
                      <wp:extent cx="1050925" cy="23177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5092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433A1E" id="Rectangle 1" o:spid="_x0000_s1026" style="width:82.75pt;height: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" filled="f" stroked="f">
                      <o:lock v:ext="edit" aspectratio="t"/>
                      <w10:anchorlock/>
                    </v:rect>
                  </w:pict>
                </mc:Fallback>
              </mc:AlternateContent>
            </w:r>
            <w:r w:rsidRPr="00F91356">
              <w:rPr>
                <w:rFonts w:eastAsia="SimSun"/>
                <w:sz w:val="20"/>
                <w:szCs w:val="20"/>
                <w:lang w:val="en-US"/>
              </w:rPr>
              <w:t xml:space="preserve"> .</w:t>
            </w:r>
          </w:p>
        </w:tc>
      </w:tr>
    </w:tbl>
    <w:p w14:paraId="12187443" w14:textId="590D149E" w:rsidR="00077322" w:rsidRPr="001E5B09" w:rsidRDefault="00925F6B" w:rsidP="00077322">
      <w:pPr>
        <w:spacing w:before="240"/>
        <w:jc w:val="both"/>
        <w:rPr>
          <w:rFonts w:ascii="Arial" w:hAnsi="Arial" w:cs="Arial"/>
          <w:lang w:val="en-US"/>
        </w:rPr>
      </w:pPr>
      <w:r>
        <w:rPr>
          <w:rFonts w:ascii="Arial" w:hAnsi="Arial" w:cs="Arial"/>
          <w:lang w:val="en-US"/>
        </w:rPr>
        <w:lastRenderedPageBreak/>
        <w:t>Translating the above procedure to NR VX</w:t>
      </w:r>
      <w:r w:rsidR="00077322" w:rsidRPr="001E5B09">
        <w:rPr>
          <w:rFonts w:ascii="Arial" w:hAnsi="Arial" w:cs="Arial"/>
          <w:lang w:val="en-US"/>
        </w:rPr>
        <w:t>, the set of slots that may belong to the PSSCH/PSCCH resource pool include all the slots except the following:</w:t>
      </w:r>
    </w:p>
    <w:p w14:paraId="4F30EF61" w14:textId="77777777" w:rsidR="00077322" w:rsidRPr="001E5B09" w:rsidRDefault="00077322" w:rsidP="00077322">
      <w:pPr>
        <w:pStyle w:val="ListParagraph"/>
        <w:numPr>
          <w:ilvl w:val="0"/>
          <w:numId w:val="24"/>
        </w:numPr>
        <w:overflowPunct/>
        <w:autoSpaceDE/>
        <w:autoSpaceDN/>
        <w:adjustRightInd/>
        <w:spacing w:after="160" w:line="259" w:lineRule="auto"/>
        <w:jc w:val="both"/>
        <w:textAlignment w:val="auto"/>
        <w:rPr>
          <w:rFonts w:ascii="Arial" w:hAnsi="Arial" w:cs="Arial"/>
          <w:sz w:val="20"/>
          <w:szCs w:val="20"/>
          <w:lang w:val="en-US"/>
        </w:rPr>
      </w:pPr>
      <w:r w:rsidRPr="001E5B09">
        <w:rPr>
          <w:rFonts w:ascii="Arial" w:hAnsi="Arial" w:cs="Arial"/>
          <w:sz w:val="20"/>
          <w:szCs w:val="20"/>
          <w:lang w:val="en-US"/>
        </w:rPr>
        <w:t>Slots in which SLSS resource is configured.</w:t>
      </w:r>
    </w:p>
    <w:p w14:paraId="235C2931" w14:textId="0B82B1F4" w:rsidR="00077322" w:rsidRPr="001931D0" w:rsidRDefault="00077322" w:rsidP="001931D0">
      <w:pPr>
        <w:pStyle w:val="ListParagraph"/>
        <w:numPr>
          <w:ilvl w:val="0"/>
          <w:numId w:val="24"/>
        </w:numPr>
        <w:overflowPunct/>
        <w:autoSpaceDE/>
        <w:autoSpaceDN/>
        <w:adjustRightInd/>
        <w:spacing w:after="160" w:line="259" w:lineRule="auto"/>
        <w:jc w:val="both"/>
        <w:textAlignment w:val="auto"/>
        <w:rPr>
          <w:rFonts w:ascii="Arial" w:hAnsi="Arial" w:cs="Arial"/>
          <w:sz w:val="20"/>
          <w:szCs w:val="20"/>
          <w:lang w:val="en-US"/>
        </w:rPr>
      </w:pPr>
      <w:r w:rsidRPr="001E5B09">
        <w:rPr>
          <w:rFonts w:ascii="Arial" w:hAnsi="Arial" w:cs="Arial"/>
          <w:sz w:val="20"/>
          <w:szCs w:val="20"/>
          <w:lang w:val="en-US"/>
        </w:rPr>
        <w:t>Slots containing downlink symbols and X symbols (in other words, UL only slots are included in the set)</w:t>
      </w:r>
      <w:r w:rsidR="00925F6B">
        <w:rPr>
          <w:rFonts w:ascii="Arial" w:hAnsi="Arial" w:cs="Arial"/>
          <w:sz w:val="20"/>
          <w:szCs w:val="20"/>
          <w:lang w:val="en-US"/>
        </w:rPr>
        <w:t xml:space="preserve">. </w:t>
      </w:r>
      <w:r w:rsidR="00925F6B" w:rsidRPr="00B66E3D">
        <w:rPr>
          <w:rFonts w:ascii="Arial" w:hAnsi="Arial" w:cs="Arial"/>
          <w:sz w:val="20"/>
          <w:szCs w:val="20"/>
          <w:lang w:val="en-US"/>
        </w:rPr>
        <w:t xml:space="preserve">Note that </w:t>
      </w:r>
      <w:r w:rsidR="00B66E3D">
        <w:rPr>
          <w:rFonts w:ascii="Arial" w:hAnsi="Arial" w:cs="Arial"/>
          <w:sz w:val="20"/>
          <w:szCs w:val="20"/>
          <w:lang w:val="en-US"/>
        </w:rPr>
        <w:t xml:space="preserve">this aligns with </w:t>
      </w:r>
      <w:r w:rsidR="00925F6B" w:rsidRPr="00B66E3D">
        <w:rPr>
          <w:rFonts w:ascii="Arial" w:hAnsi="Arial" w:cs="Arial"/>
          <w:sz w:val="20"/>
          <w:szCs w:val="20"/>
          <w:lang w:val="en-US"/>
        </w:rPr>
        <w:t>RAN1#99</w:t>
      </w:r>
      <w:r w:rsidR="002F7772" w:rsidRPr="00B66E3D">
        <w:rPr>
          <w:rFonts w:ascii="Arial" w:hAnsi="Arial" w:cs="Arial"/>
          <w:sz w:val="20"/>
          <w:szCs w:val="20"/>
          <w:lang w:val="en-US"/>
        </w:rPr>
        <w:t xml:space="preserve"> agree</w:t>
      </w:r>
      <w:r w:rsidR="00B66E3D">
        <w:rPr>
          <w:rFonts w:ascii="Arial" w:hAnsi="Arial" w:cs="Arial"/>
          <w:sz w:val="20"/>
          <w:szCs w:val="20"/>
          <w:lang w:val="en-US"/>
        </w:rPr>
        <w:t>ment</w:t>
      </w:r>
      <w:r w:rsidR="002F7772" w:rsidRPr="00B66E3D">
        <w:rPr>
          <w:rFonts w:ascii="Arial" w:hAnsi="Arial" w:cs="Arial"/>
          <w:sz w:val="20"/>
          <w:szCs w:val="20"/>
          <w:lang w:val="en-US"/>
        </w:rPr>
        <w:t xml:space="preserve"> on supporting </w:t>
      </w:r>
      <w:r w:rsidR="00B66E3D" w:rsidRPr="00B66E3D">
        <w:rPr>
          <w:rFonts w:ascii="Arial" w:hAnsi="Arial" w:cs="Arial"/>
          <w:sz w:val="20"/>
          <w:szCs w:val="20"/>
          <w:lang w:val="en-US"/>
        </w:rPr>
        <w:t>SL transmissions in cell-specific UL resources in Uu</w:t>
      </w:r>
      <w:r w:rsidR="00925F6B" w:rsidRPr="00B66E3D">
        <w:rPr>
          <w:rFonts w:ascii="Arial" w:hAnsi="Arial" w:cs="Arial"/>
          <w:sz w:val="20"/>
          <w:szCs w:val="20"/>
          <w:lang w:val="en-US"/>
        </w:rPr>
        <w:t>.</w:t>
      </w:r>
    </w:p>
    <w:p w14:paraId="21A5052F" w14:textId="77777777" w:rsidR="00077322" w:rsidRPr="00F91356" w:rsidRDefault="00077322" w:rsidP="00077322">
      <w:pPr>
        <w:pStyle w:val="ListParagraph"/>
        <w:numPr>
          <w:ilvl w:val="0"/>
          <w:numId w:val="24"/>
        </w:numPr>
        <w:overflowPunct/>
        <w:autoSpaceDE/>
        <w:autoSpaceDN/>
        <w:adjustRightInd/>
        <w:spacing w:after="120" w:line="259" w:lineRule="auto"/>
        <w:ind w:left="1281" w:hanging="357"/>
        <w:jc w:val="both"/>
        <w:textAlignment w:val="auto"/>
        <w:rPr>
          <w:rFonts w:ascii="Arial" w:hAnsi="Arial" w:cs="Arial"/>
          <w:sz w:val="20"/>
          <w:szCs w:val="20"/>
        </w:rPr>
      </w:pPr>
      <w:r w:rsidRPr="001E5B09">
        <w:rPr>
          <w:rFonts w:ascii="Arial" w:hAnsi="Arial" w:cs="Arial"/>
          <w:sz w:val="20"/>
          <w:szCs w:val="20"/>
          <w:lang w:val="en-US"/>
        </w:rPr>
        <w:t>The set of reserved slots is determined in the same way as in LTE V2X.</w:t>
      </w:r>
    </w:p>
    <w:p w14:paraId="52C4A162" w14:textId="77777777" w:rsidR="00077322" w:rsidRPr="001E5B09" w:rsidRDefault="00077322" w:rsidP="00077322">
      <w:pPr>
        <w:pStyle w:val="ListParagraph"/>
        <w:spacing w:after="120"/>
        <w:ind w:left="1281"/>
        <w:jc w:val="both"/>
        <w:rPr>
          <w:rFonts w:ascii="Arial" w:hAnsi="Arial" w:cs="Arial"/>
          <w:sz w:val="20"/>
          <w:szCs w:val="20"/>
        </w:rPr>
      </w:pPr>
    </w:p>
    <w:p w14:paraId="5C70071D" w14:textId="00438231" w:rsidR="00077322" w:rsidRPr="001E5B09" w:rsidRDefault="00077322" w:rsidP="00077322">
      <w:pPr>
        <w:pStyle w:val="Proposal"/>
        <w:overflowPunct/>
        <w:autoSpaceDE/>
        <w:autoSpaceDN/>
        <w:adjustRightInd/>
        <w:spacing w:line="259" w:lineRule="auto"/>
        <w:jc w:val="left"/>
        <w:textAlignment w:val="auto"/>
        <w:rPr>
          <w:rFonts w:cs="Arial"/>
          <w:lang w:val="en-US"/>
        </w:rPr>
      </w:pPr>
      <w:bookmarkStart w:id="3" w:name="_Toc21354948"/>
      <w:bookmarkStart w:id="4" w:name="_Toc32419974"/>
      <w:bookmarkStart w:id="5" w:name="_Toc32567961"/>
      <w:bookmarkEnd w:id="3"/>
      <w:r w:rsidRPr="001E5B09">
        <w:rPr>
          <w:rFonts w:cs="Arial"/>
          <w:lang w:val="en-US"/>
        </w:rPr>
        <w:t>Reuse the procedure for resource pool determination of LTE V2X (i.e., Section 14.1.5 in TS 36.213) for NR V2X. The set of slots used PSCCH/PSSCH resource pool includes all the slots except:</w:t>
      </w:r>
      <w:bookmarkEnd w:id="4"/>
      <w:bookmarkEnd w:id="5"/>
      <w:r w:rsidRPr="001E5B09">
        <w:rPr>
          <w:rFonts w:cs="Arial"/>
          <w:lang w:val="en-US"/>
        </w:rPr>
        <w:t xml:space="preserve"> </w:t>
      </w:r>
    </w:p>
    <w:p w14:paraId="50CDCD8F" w14:textId="77777777" w:rsidR="00077322" w:rsidRPr="001E5B09" w:rsidRDefault="00077322" w:rsidP="00077322">
      <w:pPr>
        <w:pStyle w:val="Proposal"/>
        <w:numPr>
          <w:ilvl w:val="0"/>
          <w:numId w:val="25"/>
        </w:numPr>
        <w:overflowPunct/>
        <w:autoSpaceDE/>
        <w:autoSpaceDN/>
        <w:adjustRightInd/>
        <w:spacing w:line="259" w:lineRule="auto"/>
        <w:jc w:val="left"/>
        <w:textAlignment w:val="auto"/>
        <w:rPr>
          <w:rFonts w:cs="Arial"/>
          <w:lang w:val="en-US"/>
        </w:rPr>
      </w:pPr>
      <w:bookmarkStart w:id="6" w:name="_Toc32419975"/>
      <w:bookmarkStart w:id="7" w:name="_Toc32567962"/>
      <w:r w:rsidRPr="001E5B09">
        <w:rPr>
          <w:rFonts w:cs="Arial"/>
          <w:lang w:val="en-US"/>
        </w:rPr>
        <w:t>Slots configured for SLSS resource</w:t>
      </w:r>
      <w:bookmarkEnd w:id="6"/>
      <w:bookmarkEnd w:id="7"/>
      <w:r w:rsidRPr="001E5B09">
        <w:rPr>
          <w:rFonts w:cs="Arial"/>
          <w:lang w:val="en-US"/>
        </w:rPr>
        <w:t xml:space="preserve"> </w:t>
      </w:r>
    </w:p>
    <w:p w14:paraId="0253C19E" w14:textId="77777777" w:rsidR="00077322" w:rsidRPr="001E5B09" w:rsidRDefault="00077322" w:rsidP="00077322">
      <w:pPr>
        <w:pStyle w:val="Proposal"/>
        <w:numPr>
          <w:ilvl w:val="0"/>
          <w:numId w:val="25"/>
        </w:numPr>
        <w:overflowPunct/>
        <w:autoSpaceDE/>
        <w:autoSpaceDN/>
        <w:adjustRightInd/>
        <w:spacing w:line="259" w:lineRule="auto"/>
        <w:jc w:val="left"/>
        <w:textAlignment w:val="auto"/>
        <w:rPr>
          <w:rFonts w:cs="Arial"/>
          <w:lang w:val="en-US"/>
        </w:rPr>
      </w:pPr>
      <w:bookmarkStart w:id="8" w:name="_Toc32419976"/>
      <w:bookmarkStart w:id="9" w:name="_Toc32567963"/>
      <w:r w:rsidRPr="001E5B09">
        <w:rPr>
          <w:rFonts w:cs="Arial"/>
          <w:lang w:val="en-US"/>
        </w:rPr>
        <w:t>Slots containing downlink or X symbols</w:t>
      </w:r>
      <w:bookmarkEnd w:id="8"/>
      <w:bookmarkEnd w:id="9"/>
    </w:p>
    <w:p w14:paraId="623775A1" w14:textId="1F4422AE" w:rsidR="00077322" w:rsidRPr="001E5B09" w:rsidRDefault="00077322" w:rsidP="00077322">
      <w:pPr>
        <w:pStyle w:val="Proposal"/>
        <w:numPr>
          <w:ilvl w:val="0"/>
          <w:numId w:val="25"/>
        </w:numPr>
        <w:overflowPunct/>
        <w:autoSpaceDE/>
        <w:autoSpaceDN/>
        <w:adjustRightInd/>
        <w:spacing w:line="259" w:lineRule="auto"/>
        <w:jc w:val="left"/>
        <w:textAlignment w:val="auto"/>
        <w:rPr>
          <w:rFonts w:cs="Arial"/>
          <w:lang w:val="en-US"/>
        </w:rPr>
      </w:pPr>
      <w:bookmarkStart w:id="10" w:name="_Toc32419977"/>
      <w:bookmarkStart w:id="11" w:name="_Toc32567964"/>
      <w:r w:rsidRPr="001E5B09">
        <w:rPr>
          <w:rFonts w:cs="Arial"/>
          <w:lang w:val="en-US"/>
        </w:rPr>
        <w:t xml:space="preserve">Reserved slots (determined by using </w:t>
      </w:r>
      <w:r w:rsidR="00163BFB">
        <w:rPr>
          <w:rFonts w:cs="Arial"/>
          <w:lang w:val="en-US"/>
        </w:rPr>
        <w:t xml:space="preserve">a </w:t>
      </w:r>
      <w:r w:rsidRPr="001E5B09">
        <w:rPr>
          <w:rFonts w:cs="Arial"/>
          <w:lang w:val="en-US"/>
        </w:rPr>
        <w:t>procedure</w:t>
      </w:r>
      <w:r w:rsidR="00163BFB">
        <w:rPr>
          <w:rFonts w:cs="Arial"/>
          <w:lang w:val="en-US"/>
        </w:rPr>
        <w:t xml:space="preserve"> </w:t>
      </w:r>
      <w:r w:rsidR="00CD1595">
        <w:rPr>
          <w:rFonts w:cs="Arial"/>
          <w:lang w:val="en-US"/>
        </w:rPr>
        <w:t>similar to that of</w:t>
      </w:r>
      <w:r w:rsidR="00163BFB">
        <w:rPr>
          <w:rFonts w:cs="Arial"/>
          <w:lang w:val="en-US"/>
        </w:rPr>
        <w:t xml:space="preserve"> LTE V2X</w:t>
      </w:r>
      <w:r w:rsidRPr="001E5B09">
        <w:rPr>
          <w:rFonts w:cs="Arial"/>
          <w:lang w:val="en-US"/>
        </w:rPr>
        <w:t>.)</w:t>
      </w:r>
      <w:bookmarkEnd w:id="10"/>
      <w:bookmarkEnd w:id="11"/>
    </w:p>
    <w:p w14:paraId="5EAD8C91" w14:textId="77777777" w:rsidR="00077322" w:rsidRPr="00077322" w:rsidRDefault="00077322" w:rsidP="00077322">
      <w:pPr>
        <w:rPr>
          <w:lang w:val="en-US"/>
        </w:rPr>
      </w:pPr>
    </w:p>
    <w:p w14:paraId="234B9CF4" w14:textId="46A11D42" w:rsidR="00C01F33" w:rsidRPr="00CE0424" w:rsidRDefault="00F9083E" w:rsidP="00CE0424">
      <w:pPr>
        <w:pStyle w:val="Heading1"/>
      </w:pPr>
      <w:r>
        <w:t>3</w:t>
      </w:r>
      <w:r>
        <w:tab/>
      </w:r>
      <w:r w:rsidR="00C01F33" w:rsidRPr="00CE0424">
        <w:t>Conclusion</w:t>
      </w:r>
    </w:p>
    <w:p w14:paraId="30F6A381" w14:textId="231B417F"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0F76FA96" w14:textId="77777777" w:rsidR="00DC23D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67960" w:history="1">
        <w:r w:rsidR="00DC23D0" w:rsidRPr="008A10C7">
          <w:rPr>
            <w:rStyle w:val="Hyperlink"/>
            <w:noProof/>
          </w:rPr>
          <w:t>Proposal 1</w:t>
        </w:r>
        <w:r w:rsidR="00DC23D0">
          <w:rPr>
            <w:rFonts w:asciiTheme="minorHAnsi" w:eastAsiaTheme="minorEastAsia" w:hAnsiTheme="minorHAnsi" w:cstheme="minorBidi"/>
            <w:b w:val="0"/>
            <w:noProof/>
            <w:sz w:val="22"/>
            <w:szCs w:val="22"/>
            <w:lang w:val="sv-SE" w:eastAsia="sv-SE"/>
          </w:rPr>
          <w:tab/>
        </w:r>
        <w:r w:rsidR="00DC23D0" w:rsidRPr="008A10C7">
          <w:rPr>
            <w:rStyle w:val="Hyperlink"/>
            <w:noProof/>
          </w:rPr>
          <w:t xml:space="preserve">Slots for a </w:t>
        </w:r>
        <w:r w:rsidR="00DC23D0" w:rsidRPr="008A10C7">
          <w:rPr>
            <w:rStyle w:val="Hyperlink"/>
            <w:rFonts w:eastAsia="DengXian" w:cs="Arial"/>
            <w:noProof/>
            <w:lang w:val="en-US" w:eastAsia="ko-KR"/>
          </w:rPr>
          <w:t>resource pool is (pre-)configured with bitmap, which is applied with periodicity</w:t>
        </w:r>
        <w:r w:rsidR="00DC23D0" w:rsidRPr="008A10C7">
          <w:rPr>
            <w:rStyle w:val="Hyperlink"/>
            <w:noProof/>
          </w:rPr>
          <w:t>.</w:t>
        </w:r>
      </w:hyperlink>
    </w:p>
    <w:p w14:paraId="62781279" w14:textId="77777777" w:rsidR="00DC23D0" w:rsidRDefault="00B42C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67961" w:history="1">
        <w:r w:rsidR="00DC23D0" w:rsidRPr="008A10C7">
          <w:rPr>
            <w:rStyle w:val="Hyperlink"/>
            <w:rFonts w:cs="Arial"/>
            <w:noProof/>
            <w:lang w:val="en-US"/>
          </w:rPr>
          <w:t>Proposal 2</w:t>
        </w:r>
        <w:r w:rsidR="00DC23D0">
          <w:rPr>
            <w:rFonts w:asciiTheme="minorHAnsi" w:eastAsiaTheme="minorEastAsia" w:hAnsiTheme="minorHAnsi" w:cstheme="minorBidi"/>
            <w:b w:val="0"/>
            <w:noProof/>
            <w:sz w:val="22"/>
            <w:szCs w:val="22"/>
            <w:lang w:val="sv-SE" w:eastAsia="sv-SE"/>
          </w:rPr>
          <w:tab/>
        </w:r>
        <w:r w:rsidR="00DC23D0" w:rsidRPr="008A10C7">
          <w:rPr>
            <w:rStyle w:val="Hyperlink"/>
            <w:rFonts w:cs="Arial"/>
            <w:noProof/>
            <w:lang w:val="en-US"/>
          </w:rPr>
          <w:t>Reuse the procedure for resource pool determination of LTE V2X (i.e., Section 14.1.5 in TS 36.213) for NR V2X. The set of slots used PSCCH/PSSCH resource pool includes all the slots except:</w:t>
        </w:r>
      </w:hyperlink>
    </w:p>
    <w:p w14:paraId="33699ED3" w14:textId="77777777" w:rsidR="00DC23D0" w:rsidRDefault="00B42C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67962" w:history="1">
        <w:r w:rsidR="00DC23D0" w:rsidRPr="008A10C7">
          <w:rPr>
            <w:rStyle w:val="Hyperlink"/>
            <w:rFonts w:ascii="Calibri" w:eastAsiaTheme="minorHAnsi" w:hAnsi="Calibri" w:cs="Calibri"/>
            <w:noProof/>
            <w:lang w:val="en-US"/>
          </w:rPr>
          <w:t>-</w:t>
        </w:r>
        <w:r w:rsidR="00DC23D0">
          <w:rPr>
            <w:rFonts w:asciiTheme="minorHAnsi" w:eastAsiaTheme="minorEastAsia" w:hAnsiTheme="minorHAnsi" w:cstheme="minorBidi"/>
            <w:b w:val="0"/>
            <w:noProof/>
            <w:sz w:val="22"/>
            <w:szCs w:val="22"/>
            <w:lang w:val="sv-SE" w:eastAsia="sv-SE"/>
          </w:rPr>
          <w:tab/>
        </w:r>
        <w:r w:rsidR="00DC23D0" w:rsidRPr="008A10C7">
          <w:rPr>
            <w:rStyle w:val="Hyperlink"/>
            <w:rFonts w:cs="Arial"/>
            <w:noProof/>
            <w:lang w:val="en-US"/>
          </w:rPr>
          <w:t>Slots configured for SLSS resource</w:t>
        </w:r>
      </w:hyperlink>
    </w:p>
    <w:p w14:paraId="75FEC995" w14:textId="77777777" w:rsidR="00DC23D0" w:rsidRDefault="00B42C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67963" w:history="1">
        <w:r w:rsidR="00DC23D0" w:rsidRPr="008A10C7">
          <w:rPr>
            <w:rStyle w:val="Hyperlink"/>
            <w:rFonts w:ascii="Calibri" w:eastAsiaTheme="minorHAnsi" w:hAnsi="Calibri" w:cs="Calibri"/>
            <w:noProof/>
            <w:lang w:val="en-US"/>
          </w:rPr>
          <w:t>-</w:t>
        </w:r>
        <w:r w:rsidR="00DC23D0">
          <w:rPr>
            <w:rFonts w:asciiTheme="minorHAnsi" w:eastAsiaTheme="minorEastAsia" w:hAnsiTheme="minorHAnsi" w:cstheme="minorBidi"/>
            <w:b w:val="0"/>
            <w:noProof/>
            <w:sz w:val="22"/>
            <w:szCs w:val="22"/>
            <w:lang w:val="sv-SE" w:eastAsia="sv-SE"/>
          </w:rPr>
          <w:tab/>
        </w:r>
        <w:r w:rsidR="00DC23D0" w:rsidRPr="008A10C7">
          <w:rPr>
            <w:rStyle w:val="Hyperlink"/>
            <w:rFonts w:cs="Arial"/>
            <w:noProof/>
            <w:lang w:val="en-US"/>
          </w:rPr>
          <w:t>Slots containing downlink or X symbols</w:t>
        </w:r>
      </w:hyperlink>
    </w:p>
    <w:p w14:paraId="4A885D87" w14:textId="77777777" w:rsidR="00DC23D0" w:rsidRDefault="00B42C3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67964" w:history="1">
        <w:r w:rsidR="00DC23D0" w:rsidRPr="008A10C7">
          <w:rPr>
            <w:rStyle w:val="Hyperlink"/>
            <w:rFonts w:ascii="Calibri" w:eastAsiaTheme="minorHAnsi" w:hAnsi="Calibri" w:cs="Calibri"/>
            <w:noProof/>
            <w:lang w:val="en-US"/>
          </w:rPr>
          <w:t>-</w:t>
        </w:r>
        <w:r w:rsidR="00DC23D0">
          <w:rPr>
            <w:rFonts w:asciiTheme="minorHAnsi" w:eastAsiaTheme="minorEastAsia" w:hAnsiTheme="minorHAnsi" w:cstheme="minorBidi"/>
            <w:b w:val="0"/>
            <w:noProof/>
            <w:sz w:val="22"/>
            <w:szCs w:val="22"/>
            <w:lang w:val="sv-SE" w:eastAsia="sv-SE"/>
          </w:rPr>
          <w:tab/>
        </w:r>
        <w:r w:rsidR="00DC23D0" w:rsidRPr="008A10C7">
          <w:rPr>
            <w:rStyle w:val="Hyperlink"/>
            <w:rFonts w:cs="Arial"/>
            <w:noProof/>
            <w:lang w:val="en-US"/>
          </w:rPr>
          <w:t>Reserved slots (determined by using a procedure similar to that of LTE V2X.)</w:t>
        </w:r>
      </w:hyperlink>
    </w:p>
    <w:p w14:paraId="7B007031" w14:textId="4F26682A" w:rsidR="00C01F33" w:rsidRPr="00CE0424" w:rsidRDefault="006E1C82" w:rsidP="00163BFB">
      <w:pPr>
        <w:pStyle w:val="BodyText"/>
      </w:pPr>
      <w:r>
        <w:rPr>
          <w:b/>
          <w:bCs/>
          <w:lang w:val="en-US"/>
        </w:rPr>
        <w:fldChar w:fldCharType="end"/>
      </w:r>
      <w:r w:rsidRPr="00CE0424">
        <w:rPr>
          <w:b/>
          <w:bCs/>
        </w:rPr>
        <w:t xml:space="preserve"> </w:t>
      </w:r>
    </w:p>
    <w:p w14:paraId="5C688276" w14:textId="77777777" w:rsidR="003A7EF3" w:rsidRPr="00CE0424" w:rsidRDefault="003A7EF3" w:rsidP="00CE0424">
      <w:pPr>
        <w:pStyle w:val="BodyText"/>
      </w:pPr>
      <w:bookmarkStart w:id="12" w:name="_In-sequence_SDU_delivery"/>
      <w:bookmarkEnd w:id="12"/>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F6D72" w14:textId="77777777" w:rsidR="00B42C37" w:rsidRDefault="00B42C37">
      <w:r>
        <w:separator/>
      </w:r>
    </w:p>
  </w:endnote>
  <w:endnote w:type="continuationSeparator" w:id="0">
    <w:p w14:paraId="5C599E40" w14:textId="77777777" w:rsidR="00B42C37" w:rsidRDefault="00B4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55FD3" w14:textId="77777777" w:rsidR="00B42C37" w:rsidRDefault="00B42C37">
      <w:r>
        <w:separator/>
      </w:r>
    </w:p>
  </w:footnote>
  <w:footnote w:type="continuationSeparator" w:id="0">
    <w:p w14:paraId="11D41447" w14:textId="77777777" w:rsidR="00B42C37" w:rsidRDefault="00B42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0091C"/>
    <w:multiLevelType w:val="hybridMultilevel"/>
    <w:tmpl w:val="EFE82740"/>
    <w:lvl w:ilvl="0" w:tplc="0FE2D2BC">
      <w:start w:val="7"/>
      <w:numFmt w:val="bullet"/>
      <w:lvlText w:val="-"/>
      <w:lvlJc w:val="left"/>
      <w:pPr>
        <w:ind w:left="2061" w:hanging="360"/>
      </w:pPr>
      <w:rPr>
        <w:rFonts w:ascii="Calibri" w:eastAsiaTheme="minorHAnsi" w:hAnsi="Calibri" w:cs="Calibri"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7"/>
  </w:num>
  <w:num w:numId="18">
    <w:abstractNumId w:val="8"/>
  </w:num>
  <w:num w:numId="19">
    <w:abstractNumId w:val="4"/>
  </w:num>
  <w:num w:numId="20">
    <w:abstractNumId w:val="25"/>
  </w:num>
  <w:num w:numId="21">
    <w:abstractNumId w:val="12"/>
  </w:num>
  <w:num w:numId="22">
    <w:abstractNumId w:val="23"/>
  </w:num>
  <w:num w:numId="23">
    <w:abstractNumId w:val="21"/>
  </w:num>
  <w:num w:numId="24">
    <w:abstractNumId w:val="24"/>
  </w:num>
  <w:num w:numId="25">
    <w:abstractNumId w:val="6"/>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1600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32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448"/>
    <w:rsid w:val="000C7A7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BFB"/>
    <w:rsid w:val="001659C1"/>
    <w:rsid w:val="00173A8E"/>
    <w:rsid w:val="0017502C"/>
    <w:rsid w:val="0018143F"/>
    <w:rsid w:val="00181FF8"/>
    <w:rsid w:val="00190AC1"/>
    <w:rsid w:val="001931D0"/>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2F777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FD9"/>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5D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748"/>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AB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7B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F6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973"/>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854"/>
    <w:rsid w:val="00AA1ED6"/>
    <w:rsid w:val="00AA51D6"/>
    <w:rsid w:val="00AB0BC8"/>
    <w:rsid w:val="00AB11CA"/>
    <w:rsid w:val="00AB14D9"/>
    <w:rsid w:val="00AB16AD"/>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C37"/>
    <w:rsid w:val="00B45A52"/>
    <w:rsid w:val="00B46175"/>
    <w:rsid w:val="00B548B7"/>
    <w:rsid w:val="00B63785"/>
    <w:rsid w:val="00B664C7"/>
    <w:rsid w:val="00B66E3D"/>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3AD"/>
    <w:rsid w:val="00C12107"/>
    <w:rsid w:val="00C133F1"/>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1595"/>
    <w:rsid w:val="00CD2ED1"/>
    <w:rsid w:val="00CD337B"/>
    <w:rsid w:val="00CE0424"/>
    <w:rsid w:val="00CE1FD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3D0"/>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3B3"/>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3E"/>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3A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11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113AD"/>
    <w:pPr>
      <w:pBdr>
        <w:top w:val="none" w:sz="0" w:space="0" w:color="auto"/>
      </w:pBdr>
      <w:spacing w:before="180"/>
      <w:outlineLvl w:val="1"/>
    </w:pPr>
    <w:rPr>
      <w:sz w:val="32"/>
    </w:rPr>
  </w:style>
  <w:style w:type="paragraph" w:styleId="Heading3">
    <w:name w:val="heading 3"/>
    <w:basedOn w:val="Heading2"/>
    <w:next w:val="Normal"/>
    <w:link w:val="Heading3Char"/>
    <w:qFormat/>
    <w:rsid w:val="00C113AD"/>
    <w:pPr>
      <w:spacing w:before="120"/>
      <w:outlineLvl w:val="2"/>
    </w:pPr>
    <w:rPr>
      <w:sz w:val="28"/>
    </w:rPr>
  </w:style>
  <w:style w:type="paragraph" w:styleId="Heading4">
    <w:name w:val="heading 4"/>
    <w:basedOn w:val="Heading3"/>
    <w:next w:val="Normal"/>
    <w:link w:val="Heading4Char"/>
    <w:qFormat/>
    <w:rsid w:val="00C113AD"/>
    <w:pPr>
      <w:ind w:left="1418" w:hanging="1418"/>
      <w:outlineLvl w:val="3"/>
    </w:pPr>
    <w:rPr>
      <w:sz w:val="24"/>
    </w:rPr>
  </w:style>
  <w:style w:type="paragraph" w:styleId="Heading5">
    <w:name w:val="heading 5"/>
    <w:basedOn w:val="Heading4"/>
    <w:next w:val="Normal"/>
    <w:link w:val="Heading5Char"/>
    <w:qFormat/>
    <w:rsid w:val="00C113AD"/>
    <w:pPr>
      <w:ind w:left="1701" w:hanging="1701"/>
      <w:outlineLvl w:val="4"/>
    </w:pPr>
    <w:rPr>
      <w:sz w:val="22"/>
    </w:rPr>
  </w:style>
  <w:style w:type="paragraph" w:styleId="Heading6">
    <w:name w:val="heading 6"/>
    <w:basedOn w:val="H6"/>
    <w:next w:val="Normal"/>
    <w:link w:val="Heading6Char"/>
    <w:qFormat/>
    <w:rsid w:val="00C113AD"/>
    <w:pPr>
      <w:outlineLvl w:val="5"/>
    </w:pPr>
  </w:style>
  <w:style w:type="paragraph" w:styleId="Heading7">
    <w:name w:val="heading 7"/>
    <w:basedOn w:val="H6"/>
    <w:next w:val="Normal"/>
    <w:link w:val="Heading7Char"/>
    <w:qFormat/>
    <w:rsid w:val="00C113AD"/>
    <w:pPr>
      <w:outlineLvl w:val="6"/>
    </w:pPr>
  </w:style>
  <w:style w:type="paragraph" w:styleId="Heading8">
    <w:name w:val="heading 8"/>
    <w:basedOn w:val="Heading1"/>
    <w:next w:val="Normal"/>
    <w:link w:val="Heading8Char"/>
    <w:qFormat/>
    <w:rsid w:val="00C113AD"/>
    <w:pPr>
      <w:ind w:left="0" w:firstLine="0"/>
      <w:outlineLvl w:val="7"/>
    </w:pPr>
  </w:style>
  <w:style w:type="paragraph" w:styleId="Heading9">
    <w:name w:val="heading 9"/>
    <w:basedOn w:val="Heading8"/>
    <w:next w:val="Normal"/>
    <w:link w:val="Heading9Char"/>
    <w:qFormat/>
    <w:rsid w:val="00C11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113AD"/>
    <w:pPr>
      <w:spacing w:before="180"/>
      <w:ind w:left="2693" w:hanging="2693"/>
    </w:pPr>
    <w:rPr>
      <w:b/>
    </w:rPr>
  </w:style>
  <w:style w:type="paragraph" w:styleId="TOC1">
    <w:name w:val="toc 1"/>
    <w:uiPriority w:val="39"/>
    <w:rsid w:val="00C113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113AD"/>
    <w:pPr>
      <w:keepNext/>
      <w:keepLines/>
      <w:spacing w:before="180"/>
      <w:jc w:val="center"/>
    </w:pPr>
  </w:style>
  <w:style w:type="paragraph" w:styleId="Caption">
    <w:name w:val="caption"/>
    <w:basedOn w:val="Normal"/>
    <w:next w:val="Normal"/>
    <w:qFormat/>
    <w:rsid w:val="00C113AD"/>
    <w:pPr>
      <w:spacing w:before="120" w:after="120"/>
    </w:pPr>
    <w:rPr>
      <w:b/>
      <w:lang w:eastAsia="en-GB"/>
    </w:rPr>
  </w:style>
  <w:style w:type="paragraph" w:styleId="TOC5">
    <w:name w:val="toc 5"/>
    <w:basedOn w:val="TOC4"/>
    <w:uiPriority w:val="39"/>
    <w:rsid w:val="00C113AD"/>
    <w:pPr>
      <w:ind w:left="1701" w:hanging="1701"/>
    </w:pPr>
  </w:style>
  <w:style w:type="paragraph" w:styleId="TOC4">
    <w:name w:val="toc 4"/>
    <w:basedOn w:val="TOC3"/>
    <w:uiPriority w:val="39"/>
    <w:rsid w:val="00C113AD"/>
    <w:pPr>
      <w:ind w:left="1418" w:hanging="1418"/>
    </w:pPr>
  </w:style>
  <w:style w:type="paragraph" w:styleId="TOC3">
    <w:name w:val="toc 3"/>
    <w:basedOn w:val="TOC2"/>
    <w:uiPriority w:val="39"/>
    <w:rsid w:val="00C113AD"/>
    <w:pPr>
      <w:ind w:left="1134" w:hanging="1134"/>
    </w:pPr>
  </w:style>
  <w:style w:type="paragraph" w:styleId="TOC2">
    <w:name w:val="toc 2"/>
    <w:basedOn w:val="TOC1"/>
    <w:uiPriority w:val="39"/>
    <w:rsid w:val="00C113AD"/>
    <w:pPr>
      <w:keepNext w:val="0"/>
      <w:spacing w:before="0"/>
      <w:ind w:left="851" w:hanging="851"/>
    </w:pPr>
    <w:rPr>
      <w:sz w:val="20"/>
    </w:rPr>
  </w:style>
  <w:style w:type="paragraph" w:styleId="Index2">
    <w:name w:val="index 2"/>
    <w:basedOn w:val="Index1"/>
    <w:rsid w:val="00C113AD"/>
    <w:pPr>
      <w:ind w:left="284"/>
    </w:pPr>
  </w:style>
  <w:style w:type="paragraph" w:styleId="Index1">
    <w:name w:val="index 1"/>
    <w:basedOn w:val="Normal"/>
    <w:rsid w:val="00C113AD"/>
    <w:pPr>
      <w:keepLines/>
      <w:spacing w:after="0"/>
    </w:pPr>
  </w:style>
  <w:style w:type="paragraph" w:styleId="DocumentMap">
    <w:name w:val="Document Map"/>
    <w:basedOn w:val="Normal"/>
    <w:link w:val="DocumentMapChar"/>
    <w:rsid w:val="00C113AD"/>
    <w:pPr>
      <w:shd w:val="clear" w:color="auto" w:fill="000080"/>
    </w:pPr>
    <w:rPr>
      <w:rFonts w:ascii="Tahoma" w:hAnsi="Tahoma" w:cs="Tahoma"/>
    </w:rPr>
  </w:style>
  <w:style w:type="paragraph" w:styleId="ListNumber2">
    <w:name w:val="List Number 2"/>
    <w:basedOn w:val="ListNumber"/>
    <w:rsid w:val="00C113AD"/>
    <w:pPr>
      <w:numPr>
        <w:numId w:val="22"/>
      </w:numPr>
    </w:pPr>
  </w:style>
  <w:style w:type="paragraph" w:styleId="ListNumber">
    <w:name w:val="List Number"/>
    <w:basedOn w:val="List"/>
    <w:rsid w:val="00C113AD"/>
    <w:pPr>
      <w:numPr>
        <w:numId w:val="21"/>
      </w:numPr>
    </w:pPr>
    <w:rPr>
      <w:lang w:eastAsia="ja-JP"/>
    </w:rPr>
  </w:style>
  <w:style w:type="paragraph" w:styleId="List">
    <w:name w:val="List"/>
    <w:basedOn w:val="BodyText"/>
    <w:rsid w:val="00C113AD"/>
    <w:pPr>
      <w:ind w:left="568" w:hanging="284"/>
    </w:pPr>
  </w:style>
  <w:style w:type="paragraph" w:styleId="Header">
    <w:name w:val="header"/>
    <w:link w:val="HeaderChar"/>
    <w:rsid w:val="00C113A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113AD"/>
    <w:rPr>
      <w:b/>
      <w:position w:val="6"/>
      <w:sz w:val="16"/>
    </w:rPr>
  </w:style>
  <w:style w:type="paragraph" w:styleId="FootnoteText">
    <w:name w:val="footnote text"/>
    <w:basedOn w:val="Normal"/>
    <w:link w:val="FootnoteTextChar"/>
    <w:rsid w:val="00C113AD"/>
    <w:pPr>
      <w:keepLines/>
      <w:spacing w:after="0"/>
      <w:ind w:left="454" w:hanging="454"/>
    </w:pPr>
    <w:rPr>
      <w:sz w:val="16"/>
    </w:rPr>
  </w:style>
  <w:style w:type="paragraph" w:customStyle="1" w:styleId="3GPPHeader">
    <w:name w:val="3GPP_Header"/>
    <w:basedOn w:val="BodyText"/>
    <w:rsid w:val="00C113AD"/>
    <w:pPr>
      <w:tabs>
        <w:tab w:val="left" w:pos="1701"/>
        <w:tab w:val="right" w:pos="9639"/>
      </w:tabs>
      <w:spacing w:after="240"/>
    </w:pPr>
    <w:rPr>
      <w:b/>
      <w:sz w:val="24"/>
    </w:rPr>
  </w:style>
  <w:style w:type="paragraph" w:styleId="TOC9">
    <w:name w:val="toc 9"/>
    <w:basedOn w:val="TOC8"/>
    <w:uiPriority w:val="39"/>
    <w:rsid w:val="00C113AD"/>
    <w:pPr>
      <w:ind w:left="1418" w:hanging="1418"/>
    </w:pPr>
  </w:style>
  <w:style w:type="paragraph" w:styleId="TOC6">
    <w:name w:val="toc 6"/>
    <w:basedOn w:val="TOC5"/>
    <w:next w:val="Normal"/>
    <w:uiPriority w:val="39"/>
    <w:rsid w:val="00C113AD"/>
    <w:pPr>
      <w:ind w:left="1985" w:hanging="1985"/>
    </w:pPr>
  </w:style>
  <w:style w:type="paragraph" w:styleId="TOC7">
    <w:name w:val="toc 7"/>
    <w:basedOn w:val="TOC6"/>
    <w:next w:val="Normal"/>
    <w:uiPriority w:val="39"/>
    <w:rsid w:val="00C113AD"/>
    <w:pPr>
      <w:ind w:left="2268" w:hanging="2268"/>
    </w:pPr>
  </w:style>
  <w:style w:type="paragraph" w:styleId="ListBullet2">
    <w:name w:val="List Bullet 2"/>
    <w:basedOn w:val="ListBullet"/>
    <w:rsid w:val="00C113AD"/>
    <w:pPr>
      <w:numPr>
        <w:numId w:val="17"/>
      </w:numPr>
    </w:pPr>
  </w:style>
  <w:style w:type="paragraph" w:styleId="ListBullet">
    <w:name w:val="List Bullet"/>
    <w:basedOn w:val="List"/>
    <w:rsid w:val="00C113AD"/>
    <w:pPr>
      <w:numPr>
        <w:numId w:val="16"/>
      </w:numPr>
    </w:pPr>
    <w:rPr>
      <w:lang w:eastAsia="ja-JP"/>
    </w:rPr>
  </w:style>
  <w:style w:type="paragraph" w:styleId="ListBullet3">
    <w:name w:val="List Bullet 3"/>
    <w:basedOn w:val="ListBullet2"/>
    <w:rsid w:val="00C113AD"/>
    <w:pPr>
      <w:numPr>
        <w:numId w:val="18"/>
      </w:numPr>
    </w:pPr>
  </w:style>
  <w:style w:type="paragraph" w:customStyle="1" w:styleId="EQ">
    <w:name w:val="EQ"/>
    <w:basedOn w:val="Normal"/>
    <w:next w:val="Normal"/>
    <w:rsid w:val="00C113AD"/>
    <w:pPr>
      <w:keepLines/>
      <w:tabs>
        <w:tab w:val="center" w:pos="4536"/>
        <w:tab w:val="right" w:pos="9072"/>
      </w:tabs>
    </w:pPr>
    <w:rPr>
      <w:noProof/>
    </w:rPr>
  </w:style>
  <w:style w:type="paragraph" w:styleId="List2">
    <w:name w:val="List 2"/>
    <w:basedOn w:val="List"/>
    <w:rsid w:val="00C113AD"/>
    <w:pPr>
      <w:ind w:left="851"/>
    </w:pPr>
    <w:rPr>
      <w:lang w:eastAsia="ja-JP"/>
    </w:rPr>
  </w:style>
  <w:style w:type="paragraph" w:styleId="List3">
    <w:name w:val="List 3"/>
    <w:basedOn w:val="List2"/>
    <w:rsid w:val="00C113AD"/>
    <w:pPr>
      <w:ind w:left="1135"/>
    </w:pPr>
  </w:style>
  <w:style w:type="paragraph" w:styleId="List4">
    <w:name w:val="List 4"/>
    <w:basedOn w:val="List3"/>
    <w:rsid w:val="00C113AD"/>
    <w:pPr>
      <w:ind w:left="1418"/>
    </w:pPr>
  </w:style>
  <w:style w:type="paragraph" w:styleId="List5">
    <w:name w:val="List 5"/>
    <w:basedOn w:val="List4"/>
    <w:rsid w:val="00C113AD"/>
    <w:pPr>
      <w:ind w:left="1702"/>
    </w:pPr>
  </w:style>
  <w:style w:type="paragraph" w:customStyle="1" w:styleId="EditorsNote">
    <w:name w:val="Editor's Note"/>
    <w:basedOn w:val="NO"/>
    <w:link w:val="EditorsNoteChar"/>
    <w:rsid w:val="00C113AD"/>
    <w:rPr>
      <w:color w:val="FF0000"/>
      <w:lang w:val="x-none" w:eastAsia="x-none"/>
    </w:rPr>
  </w:style>
  <w:style w:type="paragraph" w:styleId="ListBullet4">
    <w:name w:val="List Bullet 4"/>
    <w:basedOn w:val="ListBullet3"/>
    <w:rsid w:val="00C113AD"/>
    <w:pPr>
      <w:numPr>
        <w:numId w:val="19"/>
      </w:numPr>
    </w:pPr>
  </w:style>
  <w:style w:type="paragraph" w:styleId="ListBullet5">
    <w:name w:val="List Bullet 5"/>
    <w:basedOn w:val="ListBullet4"/>
    <w:rsid w:val="00C113AD"/>
    <w:pPr>
      <w:numPr>
        <w:numId w:val="20"/>
      </w:numPr>
    </w:pPr>
  </w:style>
  <w:style w:type="paragraph" w:styleId="Footer">
    <w:name w:val="footer"/>
    <w:basedOn w:val="Header"/>
    <w:link w:val="FooterChar"/>
    <w:rsid w:val="00C113AD"/>
    <w:pPr>
      <w:jc w:val="center"/>
    </w:pPr>
    <w:rPr>
      <w:i/>
    </w:rPr>
  </w:style>
  <w:style w:type="paragraph" w:customStyle="1" w:styleId="Reference">
    <w:name w:val="Reference"/>
    <w:basedOn w:val="BodyText"/>
    <w:rsid w:val="00C113AD"/>
    <w:pPr>
      <w:numPr>
        <w:numId w:val="2"/>
      </w:numPr>
    </w:pPr>
  </w:style>
  <w:style w:type="paragraph" w:styleId="BalloonText">
    <w:name w:val="Balloon Text"/>
    <w:basedOn w:val="Normal"/>
    <w:link w:val="BalloonTextChar"/>
    <w:rsid w:val="00C113AD"/>
    <w:pPr>
      <w:spacing w:after="0"/>
    </w:pPr>
    <w:rPr>
      <w:rFonts w:ascii="Segoe UI" w:hAnsi="Segoe UI" w:cs="Segoe UI"/>
      <w:sz w:val="18"/>
      <w:szCs w:val="18"/>
    </w:rPr>
  </w:style>
  <w:style w:type="character" w:styleId="PageNumber">
    <w:name w:val="page number"/>
    <w:basedOn w:val="DefaultParagraphFont"/>
    <w:rsid w:val="00C113AD"/>
  </w:style>
  <w:style w:type="paragraph" w:styleId="BodyText">
    <w:name w:val="Body Text"/>
    <w:basedOn w:val="Normal"/>
    <w:link w:val="BodyTextChar"/>
    <w:rsid w:val="00C113AD"/>
    <w:pPr>
      <w:spacing w:after="120"/>
      <w:jc w:val="both"/>
    </w:pPr>
    <w:rPr>
      <w:rFonts w:ascii="Arial" w:hAnsi="Arial"/>
      <w:lang w:eastAsia="zh-CN"/>
    </w:rPr>
  </w:style>
  <w:style w:type="character" w:styleId="Hyperlink">
    <w:name w:val="Hyperlink"/>
    <w:uiPriority w:val="99"/>
    <w:rsid w:val="00C113AD"/>
    <w:rPr>
      <w:color w:val="0000FF"/>
      <w:u w:val="single"/>
    </w:rPr>
  </w:style>
  <w:style w:type="character" w:styleId="FollowedHyperlink">
    <w:name w:val="FollowedHyperlink"/>
    <w:unhideWhenUsed/>
    <w:rsid w:val="00C113AD"/>
    <w:rPr>
      <w:color w:val="800080"/>
      <w:u w:val="single"/>
    </w:rPr>
  </w:style>
  <w:style w:type="character" w:styleId="CommentReference">
    <w:name w:val="annotation reference"/>
    <w:uiPriority w:val="99"/>
    <w:qFormat/>
    <w:rsid w:val="00C113AD"/>
    <w:rPr>
      <w:sz w:val="16"/>
      <w:szCs w:val="16"/>
    </w:rPr>
  </w:style>
  <w:style w:type="paragraph" w:styleId="CommentText">
    <w:name w:val="annotation text"/>
    <w:basedOn w:val="Normal"/>
    <w:link w:val="CommentTextChar"/>
    <w:uiPriority w:val="99"/>
    <w:qFormat/>
    <w:rsid w:val="00C113AD"/>
  </w:style>
  <w:style w:type="paragraph" w:styleId="CommentSubject">
    <w:name w:val="annotation subject"/>
    <w:basedOn w:val="CommentText"/>
    <w:next w:val="CommentText"/>
    <w:link w:val="CommentSubjectChar"/>
    <w:rsid w:val="00C113AD"/>
    <w:rPr>
      <w:b/>
      <w:bCs/>
    </w:rPr>
  </w:style>
  <w:style w:type="character" w:customStyle="1" w:styleId="Heading1Char">
    <w:name w:val="Heading 1 Char"/>
    <w:link w:val="Heading1"/>
    <w:rsid w:val="00C113AD"/>
    <w:rPr>
      <w:rFonts w:ascii="Arial" w:hAnsi="Arial"/>
      <w:sz w:val="36"/>
      <w:lang w:eastAsia="ja-JP"/>
    </w:rPr>
  </w:style>
  <w:style w:type="paragraph" w:customStyle="1" w:styleId="B1">
    <w:name w:val="B1"/>
    <w:basedOn w:val="List"/>
    <w:link w:val="B1Char1"/>
    <w:rsid w:val="00C113AD"/>
    <w:rPr>
      <w:rFonts w:ascii="Times New Roman" w:hAnsi="Times New Roman"/>
    </w:rPr>
  </w:style>
  <w:style w:type="paragraph" w:customStyle="1" w:styleId="B2">
    <w:name w:val="B2"/>
    <w:basedOn w:val="List2"/>
    <w:link w:val="B2Char"/>
    <w:rsid w:val="00C113AD"/>
    <w:rPr>
      <w:rFonts w:ascii="Times New Roman" w:hAnsi="Times New Roman"/>
    </w:rPr>
  </w:style>
  <w:style w:type="paragraph" w:customStyle="1" w:styleId="B3">
    <w:name w:val="B3"/>
    <w:basedOn w:val="List3"/>
    <w:link w:val="B3Char2"/>
    <w:rsid w:val="00C113AD"/>
    <w:rPr>
      <w:rFonts w:ascii="Times New Roman" w:hAnsi="Times New Roman"/>
    </w:rPr>
  </w:style>
  <w:style w:type="paragraph" w:customStyle="1" w:styleId="B4">
    <w:name w:val="B4"/>
    <w:basedOn w:val="List4"/>
    <w:link w:val="B4Char"/>
    <w:rsid w:val="00C113AD"/>
    <w:rPr>
      <w:rFonts w:ascii="Times New Roman" w:hAnsi="Times New Roman"/>
    </w:rPr>
  </w:style>
  <w:style w:type="paragraph" w:customStyle="1" w:styleId="Proposal">
    <w:name w:val="Proposal"/>
    <w:basedOn w:val="BodyText"/>
    <w:qFormat/>
    <w:rsid w:val="00C113AD"/>
    <w:pPr>
      <w:numPr>
        <w:numId w:val="3"/>
      </w:numPr>
      <w:tabs>
        <w:tab w:val="clear" w:pos="1304"/>
        <w:tab w:val="left" w:pos="1701"/>
      </w:tabs>
      <w:ind w:left="1701" w:hanging="1701"/>
    </w:pPr>
    <w:rPr>
      <w:b/>
      <w:bCs/>
    </w:rPr>
  </w:style>
  <w:style w:type="character" w:customStyle="1" w:styleId="BodyTextChar">
    <w:name w:val="Body Text Char"/>
    <w:link w:val="BodyText"/>
    <w:rsid w:val="00C113AD"/>
    <w:rPr>
      <w:rFonts w:ascii="Arial" w:hAnsi="Arial"/>
      <w:lang w:eastAsia="zh-CN"/>
    </w:rPr>
  </w:style>
  <w:style w:type="paragraph" w:customStyle="1" w:styleId="B5">
    <w:name w:val="B5"/>
    <w:basedOn w:val="List5"/>
    <w:link w:val="B5Char"/>
    <w:rsid w:val="00C113AD"/>
    <w:rPr>
      <w:rFonts w:ascii="Times New Roman" w:hAnsi="Times New Roman"/>
    </w:rPr>
  </w:style>
  <w:style w:type="paragraph" w:customStyle="1" w:styleId="EX">
    <w:name w:val="EX"/>
    <w:basedOn w:val="Normal"/>
    <w:rsid w:val="00C113AD"/>
    <w:pPr>
      <w:keepLines/>
      <w:ind w:left="1702" w:hanging="1418"/>
    </w:pPr>
  </w:style>
  <w:style w:type="paragraph" w:customStyle="1" w:styleId="EW">
    <w:name w:val="EW"/>
    <w:basedOn w:val="EX"/>
    <w:rsid w:val="00C113AD"/>
    <w:pPr>
      <w:spacing w:after="0"/>
    </w:pPr>
  </w:style>
  <w:style w:type="paragraph" w:customStyle="1" w:styleId="TAL">
    <w:name w:val="TAL"/>
    <w:basedOn w:val="Normal"/>
    <w:link w:val="TALCar"/>
    <w:rsid w:val="00C113AD"/>
    <w:pPr>
      <w:keepNext/>
      <w:keepLines/>
      <w:spacing w:after="0"/>
    </w:pPr>
    <w:rPr>
      <w:rFonts w:ascii="Arial" w:hAnsi="Arial"/>
      <w:sz w:val="18"/>
      <w:lang w:val="x-none" w:eastAsia="x-none"/>
    </w:rPr>
  </w:style>
  <w:style w:type="paragraph" w:customStyle="1" w:styleId="TAC">
    <w:name w:val="TAC"/>
    <w:basedOn w:val="TAL"/>
    <w:rsid w:val="00C113AD"/>
    <w:pPr>
      <w:jc w:val="center"/>
    </w:pPr>
  </w:style>
  <w:style w:type="paragraph" w:customStyle="1" w:styleId="TAH">
    <w:name w:val="TAH"/>
    <w:basedOn w:val="TAC"/>
    <w:link w:val="TAHCar"/>
    <w:rsid w:val="00C113AD"/>
    <w:rPr>
      <w:b/>
    </w:rPr>
  </w:style>
  <w:style w:type="paragraph" w:customStyle="1" w:styleId="TAN">
    <w:name w:val="TAN"/>
    <w:basedOn w:val="TAL"/>
    <w:rsid w:val="00C113AD"/>
    <w:pPr>
      <w:ind w:left="851" w:hanging="851"/>
    </w:pPr>
  </w:style>
  <w:style w:type="paragraph" w:customStyle="1" w:styleId="TAR">
    <w:name w:val="TAR"/>
    <w:basedOn w:val="TAL"/>
    <w:rsid w:val="00C113AD"/>
    <w:pPr>
      <w:jc w:val="right"/>
    </w:pPr>
  </w:style>
  <w:style w:type="paragraph" w:customStyle="1" w:styleId="TH">
    <w:name w:val="TH"/>
    <w:basedOn w:val="Normal"/>
    <w:link w:val="THChar"/>
    <w:rsid w:val="00C113AD"/>
    <w:pPr>
      <w:keepNext/>
      <w:keepLines/>
      <w:spacing w:before="60"/>
      <w:jc w:val="center"/>
    </w:pPr>
    <w:rPr>
      <w:rFonts w:ascii="Arial" w:hAnsi="Arial"/>
      <w:b/>
      <w:lang w:val="x-none" w:eastAsia="x-none"/>
    </w:rPr>
  </w:style>
  <w:style w:type="paragraph" w:customStyle="1" w:styleId="TF">
    <w:name w:val="TF"/>
    <w:basedOn w:val="TH"/>
    <w:link w:val="TFChar"/>
    <w:rsid w:val="00C113AD"/>
    <w:pPr>
      <w:keepNext w:val="0"/>
      <w:spacing w:before="0" w:after="240"/>
    </w:pPr>
  </w:style>
  <w:style w:type="paragraph" w:customStyle="1" w:styleId="TT">
    <w:name w:val="TT"/>
    <w:basedOn w:val="Heading1"/>
    <w:next w:val="Normal"/>
    <w:rsid w:val="00C113AD"/>
    <w:pPr>
      <w:outlineLvl w:val="9"/>
    </w:pPr>
  </w:style>
  <w:style w:type="paragraph" w:customStyle="1" w:styleId="ZA">
    <w:name w:val="ZA"/>
    <w:rsid w:val="00C11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11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113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11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113AD"/>
  </w:style>
  <w:style w:type="paragraph" w:customStyle="1" w:styleId="ZH">
    <w:name w:val="ZH"/>
    <w:rsid w:val="00C113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11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113AD"/>
    <w:pPr>
      <w:framePr w:hRule="auto" w:wrap="notBeside" w:y="852"/>
    </w:pPr>
    <w:rPr>
      <w:i w:val="0"/>
      <w:sz w:val="40"/>
    </w:rPr>
  </w:style>
  <w:style w:type="paragraph" w:customStyle="1" w:styleId="ZU">
    <w:name w:val="ZU"/>
    <w:rsid w:val="00C11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113AD"/>
    <w:pPr>
      <w:framePr w:wrap="notBeside" w:y="16161"/>
    </w:pPr>
  </w:style>
  <w:style w:type="paragraph" w:customStyle="1" w:styleId="FP">
    <w:name w:val="FP"/>
    <w:basedOn w:val="Normal"/>
    <w:rsid w:val="00C113AD"/>
    <w:pPr>
      <w:spacing w:after="0"/>
    </w:pPr>
  </w:style>
  <w:style w:type="paragraph" w:customStyle="1" w:styleId="Observation">
    <w:name w:val="Observation"/>
    <w:basedOn w:val="Proposal"/>
    <w:qFormat/>
    <w:rsid w:val="00C113AD"/>
    <w:pPr>
      <w:numPr>
        <w:numId w:val="13"/>
      </w:numPr>
      <w:ind w:left="1701" w:hanging="1701"/>
    </w:pPr>
    <w:rPr>
      <w:lang w:eastAsia="ja-JP"/>
    </w:rPr>
  </w:style>
  <w:style w:type="paragraph" w:styleId="TableofFigures">
    <w:name w:val="table of figures"/>
    <w:basedOn w:val="BodyText"/>
    <w:next w:val="Normal"/>
    <w:uiPriority w:val="99"/>
    <w:rsid w:val="00C113AD"/>
    <w:pPr>
      <w:ind w:left="1701" w:hanging="1701"/>
      <w:jc w:val="left"/>
    </w:pPr>
    <w:rPr>
      <w:b/>
    </w:rPr>
  </w:style>
  <w:style w:type="character" w:customStyle="1" w:styleId="B1Char1">
    <w:name w:val="B1 Char1"/>
    <w:link w:val="B1"/>
    <w:qFormat/>
    <w:rsid w:val="00C113AD"/>
    <w:rPr>
      <w:rFonts w:ascii="Times New Roman" w:hAnsi="Times New Roman"/>
      <w:lang w:eastAsia="zh-CN"/>
    </w:rPr>
  </w:style>
  <w:style w:type="character" w:customStyle="1" w:styleId="B2Char">
    <w:name w:val="B2 Char"/>
    <w:link w:val="B2"/>
    <w:qFormat/>
    <w:rsid w:val="00C113AD"/>
    <w:rPr>
      <w:rFonts w:ascii="Times New Roman" w:hAnsi="Times New Roman"/>
      <w:lang w:eastAsia="ja-JP"/>
    </w:rPr>
  </w:style>
  <w:style w:type="character" w:customStyle="1" w:styleId="B3Char2">
    <w:name w:val="B3 Char2"/>
    <w:link w:val="B3"/>
    <w:qFormat/>
    <w:rsid w:val="00C113AD"/>
    <w:rPr>
      <w:rFonts w:ascii="Times New Roman" w:hAnsi="Times New Roman"/>
      <w:lang w:eastAsia="ja-JP"/>
    </w:rPr>
  </w:style>
  <w:style w:type="character" w:customStyle="1" w:styleId="B4Char">
    <w:name w:val="B4 Char"/>
    <w:link w:val="B4"/>
    <w:rsid w:val="00C113AD"/>
    <w:rPr>
      <w:rFonts w:ascii="Times New Roman" w:hAnsi="Times New Roman"/>
      <w:lang w:eastAsia="ja-JP"/>
    </w:rPr>
  </w:style>
  <w:style w:type="character" w:customStyle="1" w:styleId="B5Char">
    <w:name w:val="B5 Char"/>
    <w:link w:val="B5"/>
    <w:rsid w:val="00C113AD"/>
    <w:rPr>
      <w:rFonts w:ascii="Times New Roman" w:hAnsi="Times New Roman"/>
      <w:lang w:eastAsia="ja-JP"/>
    </w:rPr>
  </w:style>
  <w:style w:type="paragraph" w:customStyle="1" w:styleId="B6">
    <w:name w:val="B6"/>
    <w:basedOn w:val="B5"/>
    <w:link w:val="B6Char"/>
    <w:rsid w:val="00C113AD"/>
    <w:pPr>
      <w:ind w:left="1985"/>
    </w:pPr>
  </w:style>
  <w:style w:type="character" w:customStyle="1" w:styleId="B6Char">
    <w:name w:val="B6 Char"/>
    <w:link w:val="B6"/>
    <w:rsid w:val="00C113AD"/>
    <w:rPr>
      <w:rFonts w:ascii="Times New Roman" w:hAnsi="Times New Roman"/>
      <w:lang w:eastAsia="ja-JP"/>
    </w:rPr>
  </w:style>
  <w:style w:type="paragraph" w:customStyle="1" w:styleId="B7">
    <w:name w:val="B7"/>
    <w:basedOn w:val="B6"/>
    <w:link w:val="B7Char"/>
    <w:rsid w:val="00C113AD"/>
    <w:pPr>
      <w:ind w:left="2269"/>
    </w:pPr>
  </w:style>
  <w:style w:type="character" w:customStyle="1" w:styleId="B7Char">
    <w:name w:val="B7 Char"/>
    <w:basedOn w:val="B6Char"/>
    <w:link w:val="B7"/>
    <w:rsid w:val="00C113AD"/>
    <w:rPr>
      <w:rFonts w:ascii="Times New Roman" w:hAnsi="Times New Roman"/>
      <w:lang w:eastAsia="ja-JP"/>
    </w:rPr>
  </w:style>
  <w:style w:type="paragraph" w:customStyle="1" w:styleId="B8">
    <w:name w:val="B8"/>
    <w:basedOn w:val="B7"/>
    <w:qFormat/>
    <w:rsid w:val="00C113AD"/>
    <w:pPr>
      <w:ind w:left="2552"/>
    </w:pPr>
  </w:style>
  <w:style w:type="character" w:customStyle="1" w:styleId="BalloonTextChar">
    <w:name w:val="Balloon Text Char"/>
    <w:link w:val="BalloonText"/>
    <w:rsid w:val="00C113AD"/>
    <w:rPr>
      <w:rFonts w:ascii="Segoe UI" w:hAnsi="Segoe UI" w:cs="Segoe UI"/>
      <w:sz w:val="18"/>
      <w:szCs w:val="18"/>
      <w:lang w:eastAsia="ja-JP"/>
    </w:rPr>
  </w:style>
  <w:style w:type="character" w:customStyle="1" w:styleId="CommentTextChar">
    <w:name w:val="Comment Text Char"/>
    <w:link w:val="CommentText"/>
    <w:uiPriority w:val="99"/>
    <w:qFormat/>
    <w:rsid w:val="00C113AD"/>
    <w:rPr>
      <w:rFonts w:ascii="Times New Roman" w:hAnsi="Times New Roman"/>
      <w:lang w:eastAsia="ja-JP"/>
    </w:rPr>
  </w:style>
  <w:style w:type="character" w:customStyle="1" w:styleId="CommentSubjectChar">
    <w:name w:val="Comment Subject Char"/>
    <w:link w:val="CommentSubject"/>
    <w:rsid w:val="00C113AD"/>
    <w:rPr>
      <w:rFonts w:ascii="Times New Roman" w:hAnsi="Times New Roman"/>
      <w:b/>
      <w:bCs/>
      <w:lang w:eastAsia="ja-JP"/>
    </w:rPr>
  </w:style>
  <w:style w:type="paragraph" w:customStyle="1" w:styleId="CRCoverPage">
    <w:name w:val="CR Cover Page"/>
    <w:link w:val="CRCoverPageZchn"/>
    <w:rsid w:val="00C113AD"/>
    <w:pPr>
      <w:spacing w:after="120"/>
    </w:pPr>
    <w:rPr>
      <w:rFonts w:ascii="Arial" w:hAnsi="Arial"/>
      <w:lang w:eastAsia="ko-KR"/>
    </w:rPr>
  </w:style>
  <w:style w:type="character" w:customStyle="1" w:styleId="CRCoverPageZchn">
    <w:name w:val="CR Cover Page Zchn"/>
    <w:link w:val="CRCoverPage"/>
    <w:rsid w:val="00C113AD"/>
    <w:rPr>
      <w:rFonts w:ascii="Arial" w:hAnsi="Arial"/>
      <w:lang w:eastAsia="ko-KR"/>
    </w:rPr>
  </w:style>
  <w:style w:type="paragraph" w:customStyle="1" w:styleId="Doc-text2">
    <w:name w:val="Doc-text2"/>
    <w:basedOn w:val="Normal"/>
    <w:link w:val="Doc-text2Char"/>
    <w:qFormat/>
    <w:rsid w:val="00C113A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113AD"/>
    <w:rPr>
      <w:rFonts w:ascii="Arial" w:eastAsia="MS Mincho" w:hAnsi="Arial"/>
      <w:szCs w:val="24"/>
      <w:lang w:val="x-none" w:eastAsia="x-none"/>
    </w:rPr>
  </w:style>
  <w:style w:type="character" w:customStyle="1" w:styleId="DocumentMapChar">
    <w:name w:val="Document Map Char"/>
    <w:link w:val="DocumentMap"/>
    <w:rsid w:val="00C113AD"/>
    <w:rPr>
      <w:rFonts w:ascii="Tahoma" w:hAnsi="Tahoma" w:cs="Tahoma"/>
      <w:shd w:val="clear" w:color="auto" w:fill="000080"/>
      <w:lang w:eastAsia="ja-JP"/>
    </w:rPr>
  </w:style>
  <w:style w:type="paragraph" w:customStyle="1" w:styleId="NO">
    <w:name w:val="NO"/>
    <w:basedOn w:val="Normal"/>
    <w:link w:val="NOChar"/>
    <w:rsid w:val="00C113AD"/>
    <w:pPr>
      <w:keepLines/>
      <w:ind w:left="1135" w:hanging="851"/>
    </w:pPr>
  </w:style>
  <w:style w:type="character" w:customStyle="1" w:styleId="NOChar">
    <w:name w:val="NO Char"/>
    <w:link w:val="NO"/>
    <w:qFormat/>
    <w:rsid w:val="00C113AD"/>
    <w:rPr>
      <w:rFonts w:ascii="Times New Roman" w:hAnsi="Times New Roman"/>
      <w:lang w:eastAsia="ja-JP"/>
    </w:rPr>
  </w:style>
  <w:style w:type="character" w:customStyle="1" w:styleId="EditorsNoteChar">
    <w:name w:val="Editor's Note Char"/>
    <w:link w:val="EditorsNote"/>
    <w:rsid w:val="00C113AD"/>
    <w:rPr>
      <w:rFonts w:ascii="Times New Roman" w:hAnsi="Times New Roman"/>
      <w:color w:val="FF0000"/>
      <w:lang w:val="x-none" w:eastAsia="x-none"/>
    </w:rPr>
  </w:style>
  <w:style w:type="paragraph" w:customStyle="1" w:styleId="EmailDiscussion">
    <w:name w:val="EmailDiscussion"/>
    <w:basedOn w:val="Normal"/>
    <w:next w:val="Normal"/>
    <w:rsid w:val="00C113AD"/>
    <w:pPr>
      <w:numPr>
        <w:numId w:val="14"/>
      </w:numPr>
      <w:spacing w:before="40" w:after="0"/>
    </w:pPr>
    <w:rPr>
      <w:rFonts w:ascii="Arial" w:eastAsia="MS Mincho" w:hAnsi="Arial"/>
      <w:b/>
      <w:szCs w:val="24"/>
      <w:lang w:eastAsia="en-GB"/>
    </w:rPr>
  </w:style>
  <w:style w:type="character" w:styleId="Emphasis">
    <w:name w:val="Emphasis"/>
    <w:qFormat/>
    <w:rsid w:val="00C113AD"/>
    <w:rPr>
      <w:i/>
      <w:iCs/>
    </w:rPr>
  </w:style>
  <w:style w:type="paragraph" w:customStyle="1" w:styleId="FigureTitle">
    <w:name w:val="Figure_Title"/>
    <w:basedOn w:val="Normal"/>
    <w:next w:val="Normal"/>
    <w:rsid w:val="00C113A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113AD"/>
    <w:rPr>
      <w:rFonts w:ascii="Arial" w:hAnsi="Arial"/>
      <w:b/>
      <w:noProof/>
      <w:sz w:val="18"/>
      <w:lang w:eastAsia="ja-JP"/>
    </w:rPr>
  </w:style>
  <w:style w:type="character" w:customStyle="1" w:styleId="FooterChar">
    <w:name w:val="Footer Char"/>
    <w:link w:val="Footer"/>
    <w:rsid w:val="00C113AD"/>
    <w:rPr>
      <w:rFonts w:ascii="Arial" w:hAnsi="Arial"/>
      <w:b/>
      <w:i/>
      <w:noProof/>
      <w:sz w:val="18"/>
      <w:lang w:eastAsia="ja-JP"/>
    </w:rPr>
  </w:style>
  <w:style w:type="character" w:customStyle="1" w:styleId="FootnoteTextChar">
    <w:name w:val="Footnote Text Char"/>
    <w:link w:val="FootnoteText"/>
    <w:rsid w:val="00C113AD"/>
    <w:rPr>
      <w:rFonts w:ascii="Times New Roman" w:hAnsi="Times New Roman"/>
      <w:sz w:val="16"/>
      <w:lang w:eastAsia="ja-JP"/>
    </w:rPr>
  </w:style>
  <w:style w:type="paragraph" w:customStyle="1" w:styleId="Guidance">
    <w:name w:val="Guidance"/>
    <w:basedOn w:val="Normal"/>
    <w:rsid w:val="00C113AD"/>
    <w:rPr>
      <w:i/>
      <w:color w:val="0000FF"/>
    </w:rPr>
  </w:style>
  <w:style w:type="character" w:customStyle="1" w:styleId="Heading2Char">
    <w:name w:val="Heading 2 Char"/>
    <w:link w:val="Heading2"/>
    <w:rsid w:val="00C113AD"/>
    <w:rPr>
      <w:rFonts w:ascii="Arial" w:hAnsi="Arial"/>
      <w:sz w:val="32"/>
      <w:lang w:eastAsia="ja-JP"/>
    </w:rPr>
  </w:style>
  <w:style w:type="character" w:customStyle="1" w:styleId="Heading3Char">
    <w:name w:val="Heading 3 Char"/>
    <w:link w:val="Heading3"/>
    <w:rsid w:val="00C113AD"/>
    <w:rPr>
      <w:rFonts w:ascii="Arial" w:hAnsi="Arial"/>
      <w:sz w:val="28"/>
      <w:lang w:eastAsia="ja-JP"/>
    </w:rPr>
  </w:style>
  <w:style w:type="character" w:customStyle="1" w:styleId="Heading4Char">
    <w:name w:val="Heading 4 Char"/>
    <w:link w:val="Heading4"/>
    <w:rsid w:val="00C113AD"/>
    <w:rPr>
      <w:rFonts w:ascii="Arial" w:hAnsi="Arial"/>
      <w:sz w:val="24"/>
      <w:lang w:eastAsia="ja-JP"/>
    </w:rPr>
  </w:style>
  <w:style w:type="character" w:customStyle="1" w:styleId="Heading5Char">
    <w:name w:val="Heading 5 Char"/>
    <w:link w:val="Heading5"/>
    <w:rsid w:val="00C113AD"/>
    <w:rPr>
      <w:rFonts w:ascii="Arial" w:hAnsi="Arial"/>
      <w:sz w:val="22"/>
      <w:lang w:eastAsia="ja-JP"/>
    </w:rPr>
  </w:style>
  <w:style w:type="paragraph" w:customStyle="1" w:styleId="H6">
    <w:name w:val="H6"/>
    <w:basedOn w:val="Heading5"/>
    <w:next w:val="Normal"/>
    <w:rsid w:val="00C113AD"/>
    <w:pPr>
      <w:ind w:left="1985" w:hanging="1985"/>
      <w:outlineLvl w:val="9"/>
    </w:pPr>
    <w:rPr>
      <w:sz w:val="20"/>
    </w:rPr>
  </w:style>
  <w:style w:type="character" w:customStyle="1" w:styleId="Heading6Char">
    <w:name w:val="Heading 6 Char"/>
    <w:link w:val="Heading6"/>
    <w:rsid w:val="00C113AD"/>
    <w:rPr>
      <w:rFonts w:ascii="Arial" w:hAnsi="Arial"/>
      <w:lang w:eastAsia="ja-JP"/>
    </w:rPr>
  </w:style>
  <w:style w:type="character" w:customStyle="1" w:styleId="Heading7Char">
    <w:name w:val="Heading 7 Char"/>
    <w:link w:val="Heading7"/>
    <w:rsid w:val="00C113AD"/>
    <w:rPr>
      <w:rFonts w:ascii="Arial" w:hAnsi="Arial"/>
      <w:lang w:eastAsia="ja-JP"/>
    </w:rPr>
  </w:style>
  <w:style w:type="character" w:customStyle="1" w:styleId="Heading8Char">
    <w:name w:val="Heading 8 Char"/>
    <w:link w:val="Heading8"/>
    <w:rsid w:val="00C113AD"/>
    <w:rPr>
      <w:rFonts w:ascii="Arial" w:hAnsi="Arial"/>
      <w:sz w:val="36"/>
      <w:lang w:eastAsia="ja-JP"/>
    </w:rPr>
  </w:style>
  <w:style w:type="character" w:customStyle="1" w:styleId="Heading9Char">
    <w:name w:val="Heading 9 Char"/>
    <w:link w:val="Heading9"/>
    <w:rsid w:val="00C113AD"/>
    <w:rPr>
      <w:rFonts w:ascii="Arial" w:hAnsi="Arial"/>
      <w:sz w:val="36"/>
      <w:lang w:eastAsia="ja-JP"/>
    </w:rPr>
  </w:style>
  <w:style w:type="character" w:styleId="HTMLCode">
    <w:name w:val="HTML Code"/>
    <w:uiPriority w:val="99"/>
    <w:unhideWhenUsed/>
    <w:rsid w:val="00C113AD"/>
    <w:rPr>
      <w:rFonts w:ascii="Courier New" w:eastAsia="Times New Roman" w:hAnsi="Courier New" w:cs="Courier New"/>
      <w:sz w:val="20"/>
      <w:szCs w:val="20"/>
    </w:rPr>
  </w:style>
  <w:style w:type="paragraph" w:styleId="IndexHeading">
    <w:name w:val="index heading"/>
    <w:basedOn w:val="Normal"/>
    <w:next w:val="Normal"/>
    <w:rsid w:val="00C113AD"/>
    <w:pPr>
      <w:pBdr>
        <w:top w:val="single" w:sz="12" w:space="0" w:color="auto"/>
      </w:pBdr>
      <w:spacing w:before="360" w:after="240"/>
    </w:pPr>
    <w:rPr>
      <w:b/>
      <w:i/>
      <w:sz w:val="26"/>
      <w:lang w:eastAsia="en-GB"/>
    </w:rPr>
  </w:style>
  <w:style w:type="paragraph" w:customStyle="1" w:styleId="LD">
    <w:name w:val="LD"/>
    <w:rsid w:val="00C113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113A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C113AD"/>
    <w:rPr>
      <w:rFonts w:ascii="Calibri" w:eastAsia="Calibri" w:hAnsi="Calibri"/>
      <w:sz w:val="22"/>
      <w:szCs w:val="22"/>
      <w:lang w:val="x-none" w:eastAsia="en-US"/>
    </w:rPr>
  </w:style>
  <w:style w:type="paragraph" w:customStyle="1" w:styleId="NF">
    <w:name w:val="NF"/>
    <w:basedOn w:val="NO"/>
    <w:rsid w:val="00C113AD"/>
    <w:pPr>
      <w:keepNext/>
      <w:spacing w:after="0"/>
    </w:pPr>
    <w:rPr>
      <w:rFonts w:ascii="Arial" w:hAnsi="Arial"/>
      <w:sz w:val="18"/>
    </w:rPr>
  </w:style>
  <w:style w:type="paragraph" w:customStyle="1" w:styleId="NW">
    <w:name w:val="NW"/>
    <w:basedOn w:val="NO"/>
    <w:rsid w:val="00C113AD"/>
    <w:pPr>
      <w:spacing w:after="0"/>
    </w:pPr>
  </w:style>
  <w:style w:type="paragraph" w:customStyle="1" w:styleId="PL">
    <w:name w:val="PL"/>
    <w:link w:val="PLChar"/>
    <w:qFormat/>
    <w:rsid w:val="00C11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113AD"/>
    <w:rPr>
      <w:rFonts w:ascii="Courier New" w:eastAsia="Batang" w:hAnsi="Courier New"/>
      <w:noProof/>
      <w:sz w:val="16"/>
      <w:shd w:val="clear" w:color="auto" w:fill="E6E6E6"/>
      <w:lang w:eastAsia="sv-SE"/>
    </w:rPr>
  </w:style>
  <w:style w:type="paragraph" w:styleId="PlainText">
    <w:name w:val="Plain Text"/>
    <w:basedOn w:val="Normal"/>
    <w:link w:val="PlainTextChar"/>
    <w:rsid w:val="00C113AD"/>
    <w:rPr>
      <w:rFonts w:ascii="Courier New" w:hAnsi="Courier New"/>
      <w:lang w:val="nb-NO"/>
    </w:rPr>
  </w:style>
  <w:style w:type="character" w:customStyle="1" w:styleId="PlainTextChar">
    <w:name w:val="Plain Text Char"/>
    <w:link w:val="PlainText"/>
    <w:rsid w:val="00C113AD"/>
    <w:rPr>
      <w:rFonts w:ascii="Courier New" w:hAnsi="Courier New"/>
      <w:lang w:val="nb-NO" w:eastAsia="ja-JP"/>
    </w:rPr>
  </w:style>
  <w:style w:type="character" w:styleId="Strong">
    <w:name w:val="Strong"/>
    <w:uiPriority w:val="22"/>
    <w:qFormat/>
    <w:rsid w:val="00C113AD"/>
    <w:rPr>
      <w:b/>
      <w:bCs/>
    </w:rPr>
  </w:style>
  <w:style w:type="table" w:styleId="TableGrid">
    <w:name w:val="Table Grid"/>
    <w:basedOn w:val="TableNormal"/>
    <w:uiPriority w:val="39"/>
    <w:rsid w:val="00C113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113AD"/>
    <w:rPr>
      <w:rFonts w:ascii="Arial" w:hAnsi="Arial"/>
      <w:sz w:val="18"/>
      <w:lang w:val="x-none" w:eastAsia="x-none"/>
    </w:rPr>
  </w:style>
  <w:style w:type="character" w:customStyle="1" w:styleId="TAHCar">
    <w:name w:val="TAH Car"/>
    <w:link w:val="TAH"/>
    <w:locked/>
    <w:rsid w:val="00C113AD"/>
    <w:rPr>
      <w:rFonts w:ascii="Arial" w:hAnsi="Arial"/>
      <w:b/>
      <w:sz w:val="18"/>
      <w:lang w:val="x-none" w:eastAsia="x-none"/>
    </w:rPr>
  </w:style>
  <w:style w:type="character" w:customStyle="1" w:styleId="THChar">
    <w:name w:val="TH Char"/>
    <w:link w:val="TH"/>
    <w:rsid w:val="00C113AD"/>
    <w:rPr>
      <w:rFonts w:ascii="Arial" w:hAnsi="Arial"/>
      <w:b/>
      <w:lang w:val="x-none" w:eastAsia="x-none"/>
    </w:rPr>
  </w:style>
  <w:style w:type="paragraph" w:customStyle="1" w:styleId="TAJ">
    <w:name w:val="TAJ"/>
    <w:basedOn w:val="TH"/>
    <w:rsid w:val="00C113AD"/>
  </w:style>
  <w:style w:type="paragraph" w:customStyle="1" w:styleId="TALCharChar">
    <w:name w:val="TAL Char Char"/>
    <w:basedOn w:val="Normal"/>
    <w:link w:val="TALCharCharChar"/>
    <w:rsid w:val="00C113A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113AD"/>
    <w:rPr>
      <w:rFonts w:ascii="Arial" w:eastAsia="Malgun Gothic" w:hAnsi="Arial"/>
      <w:sz w:val="18"/>
      <w:lang w:val="x-none" w:eastAsia="x-none"/>
    </w:rPr>
  </w:style>
  <w:style w:type="character" w:customStyle="1" w:styleId="TFChar">
    <w:name w:val="TF Char"/>
    <w:link w:val="TF"/>
    <w:rsid w:val="00C113AD"/>
    <w:rPr>
      <w:rFonts w:ascii="Arial" w:hAnsi="Arial"/>
      <w:b/>
      <w:lang w:val="x-none" w:eastAsia="x-none"/>
    </w:rPr>
  </w:style>
  <w:style w:type="paragraph" w:styleId="ListContinue">
    <w:name w:val="List Continue"/>
    <w:basedOn w:val="Normal"/>
    <w:rsid w:val="00C113AD"/>
    <w:pPr>
      <w:spacing w:after="120"/>
      <w:ind w:left="283"/>
      <w:contextualSpacing/>
    </w:pPr>
    <w:rPr>
      <w:rFonts w:ascii="Arial" w:hAnsi="Arial"/>
    </w:rPr>
  </w:style>
  <w:style w:type="paragraph" w:styleId="ListContinue2">
    <w:name w:val="List Continue 2"/>
    <w:basedOn w:val="Normal"/>
    <w:rsid w:val="00C113AD"/>
    <w:pPr>
      <w:spacing w:after="120"/>
      <w:ind w:left="566"/>
      <w:contextualSpacing/>
    </w:pPr>
    <w:rPr>
      <w:rFonts w:ascii="Arial" w:hAnsi="Arial"/>
    </w:rPr>
  </w:style>
  <w:style w:type="paragraph" w:styleId="ListNumber3">
    <w:name w:val="List Number 3"/>
    <w:basedOn w:val="ListNumber2"/>
    <w:rsid w:val="00C113AD"/>
    <w:pPr>
      <w:numPr>
        <w:numId w:val="10"/>
      </w:numPr>
      <w:contextualSpacing/>
    </w:pPr>
  </w:style>
  <w:style w:type="paragraph" w:customStyle="1" w:styleId="LGTdoc">
    <w:name w:val="LGTdoc_본문"/>
    <w:basedOn w:val="Normal"/>
    <w:link w:val="LGTdocChar"/>
    <w:qFormat/>
    <w:rsid w:val="00077322"/>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sv-SE" w:eastAsia="ko-KR"/>
    </w:rPr>
  </w:style>
  <w:style w:type="character" w:customStyle="1" w:styleId="LGTdocChar">
    <w:name w:val="LGTdoc_본문 Char"/>
    <w:link w:val="LGTdoc"/>
    <w:qFormat/>
    <w:rsid w:val="00077322"/>
    <w:rPr>
      <w:rFonts w:asciiTheme="minorHAnsi" w:eastAsia="Batang" w:hAnsiTheme="minorHAnsi" w:cstheme="minorBidi"/>
      <w:kern w:val="2"/>
      <w:sz w:val="22"/>
      <w:szCs w:val="24"/>
      <w:lang w:val="sv-SE" w:eastAsia="ko-KR"/>
    </w:rPr>
  </w:style>
  <w:style w:type="paragraph" w:customStyle="1" w:styleId="Style1">
    <w:name w:val="Style1"/>
    <w:basedOn w:val="Normal"/>
    <w:link w:val="Style1Char"/>
    <w:qFormat/>
    <w:rsid w:val="00925F6B"/>
    <w:pPr>
      <w:overflowPunct/>
      <w:autoSpaceDE/>
      <w:autoSpaceDN/>
      <w:adjustRightInd/>
      <w:spacing w:after="100" w:afterAutospacing="1" w:line="300" w:lineRule="auto"/>
      <w:ind w:firstLine="360"/>
      <w:contextualSpacing/>
      <w:jc w:val="both"/>
      <w:textAlignment w:val="auto"/>
    </w:pPr>
    <w:rPr>
      <w:rFonts w:eastAsia="SimSun" w:cstheme="minorBidi"/>
      <w:sz w:val="22"/>
      <w:szCs w:val="22"/>
      <w:lang w:val="sv-SE" w:eastAsia="zh-CN"/>
    </w:rPr>
  </w:style>
  <w:style w:type="character" w:customStyle="1" w:styleId="Style1Char">
    <w:name w:val="Style1 Char"/>
    <w:link w:val="Style1"/>
    <w:qFormat/>
    <w:rsid w:val="00925F6B"/>
    <w:rPr>
      <w:rFonts w:ascii="Times New Roman" w:eastAsia="SimSun" w:hAnsi="Times New Roman"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C3F9B06-811D-4522-917D-8A6DBB45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9681D7A7-5BF7-834A-AB1F-1D54A796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C:\Users\ehieudo\Desktop\RAN1-100\R1-xxxxxx Contribution Template.dotx</Template>
  <TotalTime>32</TotalTime>
  <Pages>3</Pages>
  <Words>846</Words>
  <Characters>4199</Characters>
  <Application>Microsoft Office Word</Application>
  <DocSecurity>0</DocSecurity>
  <Lines>93</Lines>
  <Paragraphs>68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4977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18</cp:revision>
  <cp:lastPrinted>2008-01-31T07:09:00Z</cp:lastPrinted>
  <dcterms:created xsi:type="dcterms:W3CDTF">2020-01-10T15:47:00Z</dcterms:created>
  <dcterms:modified xsi:type="dcterms:W3CDTF">2020-02-14T14:52:00Z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